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B8" w:rsidRPr="005B337D" w:rsidRDefault="00FC0CB8" w:rsidP="00E053A4">
      <w:pPr>
        <w:spacing w:line="360" w:lineRule="auto"/>
        <w:jc w:val="center"/>
        <w:rPr>
          <w:rFonts w:ascii="Calibri" w:hAnsi="Calibri" w:cs="Calibri"/>
          <w:b/>
          <w:sz w:val="36"/>
          <w:szCs w:val="36"/>
          <w:lang w:val="en-US"/>
        </w:rPr>
      </w:pPr>
      <w:r w:rsidRPr="005B337D">
        <w:rPr>
          <w:rFonts w:ascii="Calibri" w:hAnsi="Calibri" w:cs="Calibri"/>
          <w:b/>
          <w:sz w:val="36"/>
          <w:szCs w:val="36"/>
          <w:lang w:val="en-US"/>
        </w:rPr>
        <w:t>Protocol of the Study</w:t>
      </w:r>
    </w:p>
    <w:p w:rsidR="00FC0CB8" w:rsidRPr="005B337D" w:rsidRDefault="00FC0CB8" w:rsidP="00E053A4">
      <w:pPr>
        <w:spacing w:line="360" w:lineRule="auto"/>
        <w:jc w:val="both"/>
        <w:rPr>
          <w:rFonts w:ascii="Calibri" w:hAnsi="Calibri" w:cs="Calibri"/>
          <w:color w:val="5F4142"/>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t>Scientific Title</w:t>
      </w:r>
    </w:p>
    <w:p w:rsidR="00FC0CB8" w:rsidRPr="005B337D" w:rsidRDefault="00364806" w:rsidP="00E053A4">
      <w:pPr>
        <w:spacing w:line="360" w:lineRule="auto"/>
        <w:jc w:val="both"/>
        <w:rPr>
          <w:rFonts w:ascii="Calibri" w:hAnsi="Calibri" w:cs="Calibri"/>
          <w:sz w:val="24"/>
          <w:szCs w:val="24"/>
          <w:lang w:val="en-US"/>
        </w:rPr>
      </w:pPr>
      <w:r>
        <w:rPr>
          <w:rFonts w:ascii="Calibri" w:hAnsi="Calibri" w:cs="Calibri"/>
          <w:sz w:val="24"/>
          <w:szCs w:val="24"/>
          <w:lang w:val="en-US"/>
        </w:rPr>
        <w:t>R</w:t>
      </w:r>
      <w:r w:rsidR="00FC0CB8" w:rsidRPr="005B337D">
        <w:rPr>
          <w:rFonts w:ascii="Calibri" w:hAnsi="Calibri" w:cs="Calibri"/>
          <w:sz w:val="24"/>
          <w:szCs w:val="24"/>
          <w:lang w:val="en-US"/>
        </w:rPr>
        <w:t>andomised study comparing universal valganciclovir prophylaxis with quantitative polymerase chain reaction (PCR) based pre</w:t>
      </w:r>
      <w:r w:rsidR="003F7DC7">
        <w:rPr>
          <w:rFonts w:ascii="Calibri" w:hAnsi="Calibri" w:cs="Calibri"/>
          <w:sz w:val="24"/>
          <w:szCs w:val="24"/>
          <w:lang w:val="en-US"/>
        </w:rPr>
        <w:t>-</w:t>
      </w:r>
      <w:r w:rsidR="00FC0CB8" w:rsidRPr="005B337D">
        <w:rPr>
          <w:rFonts w:ascii="Calibri" w:hAnsi="Calibri" w:cs="Calibri"/>
          <w:sz w:val="24"/>
          <w:szCs w:val="24"/>
          <w:lang w:val="en-US"/>
        </w:rPr>
        <w:t>emptive therapy for cytomegalovirus (CMV) disease in renal transplant recipients.</w:t>
      </w:r>
    </w:p>
    <w:p w:rsidR="00FC0CB8" w:rsidRPr="005B337D" w:rsidRDefault="00FC0CB8" w:rsidP="00E053A4">
      <w:pPr>
        <w:spacing w:line="360" w:lineRule="auto"/>
        <w:jc w:val="both"/>
        <w:rPr>
          <w:rFonts w:ascii="Calibri" w:hAnsi="Calibri" w:cs="Calibri"/>
          <w:b/>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t>Public Title</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b/>
          <w:sz w:val="24"/>
          <w:szCs w:val="24"/>
          <w:lang w:val="en-US"/>
        </w:rPr>
        <w:t>OVERT Study:</w:t>
      </w:r>
      <w:r w:rsidRPr="005B337D">
        <w:rPr>
          <w:rFonts w:ascii="Calibri" w:hAnsi="Calibri" w:cs="Calibri"/>
          <w:sz w:val="24"/>
          <w:szCs w:val="24"/>
          <w:lang w:val="en-US"/>
        </w:rPr>
        <w:t xml:space="preserve"> </w:t>
      </w:r>
      <w:r w:rsidRPr="005B337D">
        <w:rPr>
          <w:rFonts w:ascii="Calibri" w:hAnsi="Calibri" w:cs="Calibri"/>
          <w:b/>
          <w:sz w:val="24"/>
          <w:szCs w:val="24"/>
          <w:lang w:val="en-US"/>
        </w:rPr>
        <w:t>O</w:t>
      </w:r>
      <w:r w:rsidRPr="005B337D">
        <w:rPr>
          <w:rFonts w:ascii="Calibri" w:hAnsi="Calibri" w:cs="Calibri"/>
          <w:sz w:val="24"/>
          <w:szCs w:val="24"/>
          <w:lang w:val="en-US"/>
        </w:rPr>
        <w:t xml:space="preserve">ptimizing </w:t>
      </w:r>
      <w:r w:rsidRPr="005B337D">
        <w:rPr>
          <w:rFonts w:ascii="Calibri" w:hAnsi="Calibri" w:cs="Calibri"/>
          <w:b/>
          <w:sz w:val="24"/>
          <w:szCs w:val="24"/>
          <w:lang w:val="en-US"/>
        </w:rPr>
        <w:t>V</w:t>
      </w:r>
      <w:r w:rsidRPr="005B337D">
        <w:rPr>
          <w:rFonts w:ascii="Calibri" w:hAnsi="Calibri" w:cs="Calibri"/>
          <w:sz w:val="24"/>
          <w:szCs w:val="24"/>
          <w:lang w:val="en-US"/>
        </w:rPr>
        <w:t xml:space="preserve">alganciclovir </w:t>
      </w:r>
      <w:r w:rsidRPr="005B337D">
        <w:rPr>
          <w:rFonts w:ascii="Calibri" w:hAnsi="Calibri" w:cs="Calibri"/>
          <w:b/>
          <w:sz w:val="24"/>
          <w:szCs w:val="24"/>
          <w:lang w:val="en-US"/>
        </w:rPr>
        <w:t>E</w:t>
      </w:r>
      <w:r w:rsidRPr="005B337D">
        <w:rPr>
          <w:rFonts w:ascii="Calibri" w:hAnsi="Calibri" w:cs="Calibri"/>
          <w:sz w:val="24"/>
          <w:szCs w:val="24"/>
          <w:lang w:val="en-US"/>
        </w:rPr>
        <w:t xml:space="preserve">fficacy in </w:t>
      </w:r>
      <w:r w:rsidRPr="005B337D">
        <w:rPr>
          <w:rFonts w:ascii="Calibri" w:hAnsi="Calibri" w:cs="Calibri"/>
          <w:b/>
          <w:sz w:val="24"/>
          <w:szCs w:val="24"/>
          <w:lang w:val="en-US"/>
        </w:rPr>
        <w:t>R</w:t>
      </w:r>
      <w:r w:rsidRPr="005B337D">
        <w:rPr>
          <w:rFonts w:ascii="Calibri" w:hAnsi="Calibri" w:cs="Calibri"/>
          <w:sz w:val="24"/>
          <w:szCs w:val="24"/>
          <w:lang w:val="en-US"/>
        </w:rPr>
        <w:t xml:space="preserve">enal </w:t>
      </w:r>
      <w:r w:rsidRPr="005B337D">
        <w:rPr>
          <w:rFonts w:ascii="Calibri" w:hAnsi="Calibri" w:cs="Calibri"/>
          <w:b/>
          <w:sz w:val="24"/>
          <w:szCs w:val="24"/>
          <w:lang w:val="en-US"/>
        </w:rPr>
        <w:t>T</w:t>
      </w:r>
      <w:r w:rsidRPr="005B337D">
        <w:rPr>
          <w:rFonts w:ascii="Calibri" w:hAnsi="Calibri" w:cs="Calibri"/>
          <w:sz w:val="24"/>
          <w:szCs w:val="24"/>
          <w:lang w:val="en-US"/>
        </w:rPr>
        <w:t>ransplantation</w:t>
      </w:r>
    </w:p>
    <w:p w:rsidR="00FC0CB8" w:rsidRPr="005B337D" w:rsidRDefault="00FC0CB8" w:rsidP="00E053A4">
      <w:pPr>
        <w:spacing w:line="360" w:lineRule="auto"/>
        <w:jc w:val="both"/>
        <w:rPr>
          <w:rFonts w:ascii="Calibri" w:hAnsi="Calibri" w:cs="Calibri"/>
          <w:b/>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t>Study site</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Charles University Medical School and Teaching Hospital</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Address: Alej Svobody 80, 304 60 Pilsen, Czech Republic</w:t>
      </w:r>
    </w:p>
    <w:p w:rsidR="00FC0CB8" w:rsidRPr="005B337D" w:rsidRDefault="00FC0CB8" w:rsidP="00E053A4">
      <w:pPr>
        <w:spacing w:line="360" w:lineRule="auto"/>
        <w:ind w:firstLine="708"/>
        <w:jc w:val="both"/>
        <w:rPr>
          <w:rFonts w:ascii="Calibri" w:hAnsi="Calibri" w:cs="Calibri"/>
          <w:b/>
          <w:smallCaps/>
          <w:sz w:val="24"/>
          <w:szCs w:val="24"/>
          <w:lang w:val="en-US"/>
        </w:rPr>
      </w:pPr>
      <w:r w:rsidRPr="005B337D">
        <w:rPr>
          <w:rFonts w:ascii="Calibri" w:hAnsi="Calibri" w:cs="Calibri"/>
          <w:sz w:val="24"/>
          <w:szCs w:val="24"/>
          <w:lang w:val="en-US"/>
        </w:rPr>
        <w:t>Department of Internal Medicine I</w:t>
      </w:r>
    </w:p>
    <w:p w:rsidR="00FC0CB8" w:rsidRPr="005B337D" w:rsidRDefault="00FC0CB8" w:rsidP="00E053A4">
      <w:pPr>
        <w:spacing w:line="360" w:lineRule="auto"/>
        <w:ind w:firstLine="708"/>
        <w:jc w:val="both"/>
        <w:rPr>
          <w:rFonts w:ascii="Calibri" w:hAnsi="Calibri" w:cs="Calibri"/>
          <w:sz w:val="24"/>
          <w:szCs w:val="24"/>
          <w:lang w:val="en-US"/>
        </w:rPr>
      </w:pPr>
      <w:r w:rsidRPr="005B337D">
        <w:rPr>
          <w:rFonts w:ascii="Calibri" w:hAnsi="Calibri" w:cs="Calibri"/>
          <w:sz w:val="24"/>
          <w:szCs w:val="24"/>
          <w:lang w:val="en-US"/>
        </w:rPr>
        <w:t>Department of Hemato-oncology</w:t>
      </w:r>
    </w:p>
    <w:p w:rsidR="00FC0CB8" w:rsidRPr="005B337D" w:rsidRDefault="00FC0CB8" w:rsidP="00E053A4">
      <w:pPr>
        <w:spacing w:line="360" w:lineRule="auto"/>
        <w:ind w:firstLine="708"/>
        <w:jc w:val="both"/>
        <w:rPr>
          <w:rFonts w:ascii="Calibri" w:hAnsi="Calibri" w:cs="Calibri"/>
          <w:sz w:val="24"/>
          <w:szCs w:val="24"/>
          <w:lang w:val="en-US"/>
        </w:rPr>
      </w:pPr>
      <w:r w:rsidRPr="005B337D">
        <w:rPr>
          <w:rFonts w:ascii="Calibri" w:hAnsi="Calibri" w:cs="Calibri"/>
          <w:sz w:val="24"/>
          <w:szCs w:val="24"/>
          <w:lang w:val="en-US"/>
        </w:rPr>
        <w:t>Department of Pathology</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Institute for Clinical and Experimental Medicine (gene expression analyses)</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Address: Vídeňská 1958/9, 140 21 Prague, Czech Republic</w:t>
      </w:r>
    </w:p>
    <w:p w:rsidR="00FC0CB8" w:rsidRPr="005B337D" w:rsidRDefault="00FC0CB8" w:rsidP="00E053A4">
      <w:pPr>
        <w:spacing w:line="360" w:lineRule="auto"/>
        <w:ind w:firstLine="708"/>
        <w:jc w:val="both"/>
        <w:rPr>
          <w:rFonts w:ascii="Calibri" w:hAnsi="Calibri" w:cs="Calibri"/>
          <w:sz w:val="24"/>
          <w:szCs w:val="24"/>
          <w:lang w:val="en-US"/>
        </w:rPr>
      </w:pPr>
      <w:r w:rsidRPr="005B337D">
        <w:rPr>
          <w:rFonts w:ascii="Calibri" w:hAnsi="Calibri" w:cs="Calibri"/>
          <w:sz w:val="24"/>
          <w:szCs w:val="24"/>
          <w:lang w:val="en-US"/>
        </w:rPr>
        <w:t>Department of Transplant Laboratory</w:t>
      </w:r>
    </w:p>
    <w:p w:rsidR="00FC0CB8" w:rsidRPr="005B337D" w:rsidRDefault="00FC0CB8" w:rsidP="00E053A4">
      <w:pPr>
        <w:spacing w:line="360" w:lineRule="auto"/>
        <w:jc w:val="both"/>
        <w:rPr>
          <w:rFonts w:ascii="Calibri" w:hAnsi="Calibri" w:cs="Calibri"/>
          <w:sz w:val="24"/>
          <w:szCs w:val="24"/>
          <w:lang w:val="en-US"/>
        </w:rPr>
      </w:pP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b/>
          <w:sz w:val="24"/>
          <w:szCs w:val="24"/>
          <w:lang w:val="en-US"/>
        </w:rPr>
        <w:t>Principal investigator</w:t>
      </w:r>
      <w:r w:rsidRPr="005B337D">
        <w:rPr>
          <w:rFonts w:ascii="Calibri" w:hAnsi="Calibri" w:cs="Calibri"/>
          <w:sz w:val="24"/>
          <w:szCs w:val="24"/>
          <w:lang w:val="en-US"/>
        </w:rPr>
        <w:t xml:space="preserve"> </w:t>
      </w:r>
    </w:p>
    <w:p w:rsidR="00FC0CB8" w:rsidRPr="005B337D" w:rsidRDefault="00FC0CB8" w:rsidP="00E053A4">
      <w:pPr>
        <w:spacing w:line="360" w:lineRule="auto"/>
        <w:jc w:val="both"/>
        <w:rPr>
          <w:rFonts w:ascii="Calibri" w:hAnsi="Calibri" w:cs="Calibri"/>
          <w:sz w:val="24"/>
          <w:szCs w:val="24"/>
          <w:lang w:val="en-US"/>
        </w:rPr>
      </w:pPr>
      <w:proofErr w:type="gramStart"/>
      <w:r w:rsidRPr="005B337D">
        <w:rPr>
          <w:rFonts w:ascii="Calibri" w:hAnsi="Calibri" w:cs="Calibri"/>
          <w:sz w:val="24"/>
          <w:szCs w:val="24"/>
          <w:lang w:val="en-US"/>
        </w:rPr>
        <w:t>Ass.</w:t>
      </w:r>
      <w:proofErr w:type="gramEnd"/>
      <w:r w:rsidRPr="005B337D">
        <w:rPr>
          <w:rFonts w:ascii="Calibri" w:hAnsi="Calibri" w:cs="Calibri"/>
          <w:sz w:val="24"/>
          <w:szCs w:val="24"/>
          <w:lang w:val="en-US"/>
        </w:rPr>
        <w:t xml:space="preserve"> Prof. Tomáš Reischig, MD, PhD</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Department of Internal Medicine I, Biomedical Centre</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Charles University Teaching Hospital, Faculty of Medicine in Pilsen, Charles University in Prague</w:t>
      </w:r>
    </w:p>
    <w:p w:rsidR="00FC0CB8" w:rsidRPr="005B337D" w:rsidRDefault="00FC0CB8" w:rsidP="00E053A4">
      <w:pPr>
        <w:spacing w:line="360" w:lineRule="auto"/>
        <w:jc w:val="both"/>
        <w:rPr>
          <w:rFonts w:ascii="Calibri" w:hAnsi="Calibri" w:cs="Calibri"/>
          <w:sz w:val="24"/>
          <w:szCs w:val="24"/>
          <w:lang w:val="en-US"/>
        </w:rPr>
      </w:pPr>
      <w:r>
        <w:rPr>
          <w:rFonts w:ascii="Calibri" w:hAnsi="Calibri" w:cs="Calibri"/>
          <w:sz w:val="24"/>
          <w:szCs w:val="24"/>
          <w:lang w:val="en-US"/>
        </w:rPr>
        <w:t>A</w:t>
      </w:r>
      <w:r w:rsidRPr="005B337D">
        <w:rPr>
          <w:rFonts w:ascii="Calibri" w:hAnsi="Calibri" w:cs="Calibri"/>
          <w:sz w:val="24"/>
          <w:szCs w:val="24"/>
          <w:lang w:val="en-US"/>
        </w:rPr>
        <w:t>lej Svobody 80</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304 60 Pilsen</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Czech Republic</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Phone: 00420-37-7103650</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Fax: 00420-37-7103506</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 xml:space="preserve">E-mail: </w:t>
      </w:r>
      <w:hyperlink r:id="rId5" w:history="1">
        <w:r w:rsidRPr="005B337D">
          <w:rPr>
            <w:rStyle w:val="Hypertextovodkaz"/>
            <w:rFonts w:ascii="Calibri" w:hAnsi="Calibri" w:cs="Calibri"/>
            <w:sz w:val="24"/>
            <w:szCs w:val="24"/>
            <w:lang w:val="en-US"/>
          </w:rPr>
          <w:t>reischig@fnplzen.cz</w:t>
        </w:r>
      </w:hyperlink>
    </w:p>
    <w:p w:rsidR="00FC0CB8" w:rsidRPr="005B337D" w:rsidRDefault="00FC0CB8" w:rsidP="00E053A4">
      <w:pPr>
        <w:spacing w:line="360" w:lineRule="auto"/>
        <w:jc w:val="both"/>
        <w:rPr>
          <w:rFonts w:ascii="Calibri" w:hAnsi="Calibri" w:cs="Calibri"/>
          <w:b/>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t>Co-investigators</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Prof. Ondřej Viklický, MD, PhD, Department of Nephrology, Institute for Clinical and Experimental Medicine, Prague; Biomedical Centre, Faculty of Medicine in Pilsen, Charles University in Prague, Pilsen</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Prof. Ondřej Hes, MD, PhD, Department of Pathology, Charles University Teaching Hospital, Faculty of Medicine in Pilsen, Charles University in Prague, Pilsen</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Pavel Jindra, MD, PhD, Department of Hemato-oncology, Charles University Teaching Hospita</w:t>
      </w:r>
      <w:r>
        <w:rPr>
          <w:rFonts w:ascii="Calibri" w:hAnsi="Calibri" w:cs="Calibri"/>
          <w:sz w:val="24"/>
          <w:szCs w:val="24"/>
          <w:lang w:val="en-US"/>
        </w:rPr>
        <w:t xml:space="preserve">l, </w:t>
      </w:r>
      <w:r w:rsidRPr="005B337D">
        <w:rPr>
          <w:rFonts w:ascii="Calibri" w:hAnsi="Calibri" w:cs="Calibri"/>
          <w:sz w:val="24"/>
          <w:szCs w:val="24"/>
          <w:lang w:val="en-US"/>
        </w:rPr>
        <w:t>Pilsen; Biomedical Centre, Faculty of Medicine in Pilsen, Charles University in Prague, Pilsen</w:t>
      </w:r>
    </w:p>
    <w:p w:rsidR="00FC0CB8" w:rsidRPr="005B337D" w:rsidRDefault="00FC0CB8" w:rsidP="00E053A4">
      <w:pPr>
        <w:spacing w:line="360" w:lineRule="auto"/>
        <w:jc w:val="both"/>
        <w:rPr>
          <w:rFonts w:ascii="Calibri" w:hAnsi="Calibri" w:cs="Calibri"/>
          <w:sz w:val="24"/>
          <w:szCs w:val="24"/>
          <w:lang w:val="en-US"/>
        </w:rPr>
      </w:pPr>
      <w:r>
        <w:rPr>
          <w:rFonts w:ascii="Calibri" w:hAnsi="Calibri" w:cs="Calibri"/>
          <w:sz w:val="24"/>
          <w:szCs w:val="24"/>
          <w:lang w:val="en-US"/>
        </w:rPr>
        <w:t>Daniel</w:t>
      </w:r>
      <w:r w:rsidRPr="005B337D">
        <w:rPr>
          <w:rFonts w:ascii="Calibri" w:hAnsi="Calibri" w:cs="Calibri"/>
          <w:sz w:val="24"/>
          <w:szCs w:val="24"/>
          <w:lang w:val="en-US"/>
        </w:rPr>
        <w:t xml:space="preserve"> </w:t>
      </w:r>
      <w:r>
        <w:rPr>
          <w:rFonts w:ascii="Calibri" w:hAnsi="Calibri" w:cs="Calibri"/>
          <w:sz w:val="24"/>
          <w:szCs w:val="24"/>
          <w:lang w:val="en-US"/>
        </w:rPr>
        <w:t>Lysák</w:t>
      </w:r>
      <w:r w:rsidRPr="005B337D">
        <w:rPr>
          <w:rFonts w:ascii="Calibri" w:hAnsi="Calibri" w:cs="Calibri"/>
          <w:sz w:val="24"/>
          <w:szCs w:val="24"/>
          <w:lang w:val="en-US"/>
        </w:rPr>
        <w:t>, MD, PhD, Department of Hemato-oncology, Charles University Teaching Hospita</w:t>
      </w:r>
      <w:r>
        <w:rPr>
          <w:rFonts w:ascii="Calibri" w:hAnsi="Calibri" w:cs="Calibri"/>
          <w:sz w:val="24"/>
          <w:szCs w:val="24"/>
          <w:lang w:val="en-US"/>
        </w:rPr>
        <w:t xml:space="preserve">l, </w:t>
      </w:r>
      <w:r w:rsidRPr="005B337D">
        <w:rPr>
          <w:rFonts w:ascii="Calibri" w:hAnsi="Calibri" w:cs="Calibri"/>
          <w:sz w:val="24"/>
          <w:szCs w:val="24"/>
          <w:lang w:val="en-US"/>
        </w:rPr>
        <w:t>Pilsen; Biomedical Centre, Faculty of Medicine in Pilsen, Charles University in Prague, Pilsen</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Mirko Bouda, MD, Department of Internal Medicine I, Charles University Teaching H</w:t>
      </w:r>
      <w:r>
        <w:rPr>
          <w:rFonts w:ascii="Calibri" w:hAnsi="Calibri" w:cs="Calibri"/>
          <w:sz w:val="24"/>
          <w:szCs w:val="24"/>
          <w:lang w:val="en-US"/>
        </w:rPr>
        <w:t>ospital, Pilsen</w:t>
      </w:r>
      <w:r w:rsidRPr="00BD73C7">
        <w:rPr>
          <w:rFonts w:ascii="Calibri" w:hAnsi="Calibri" w:cs="Calibri"/>
          <w:sz w:val="24"/>
          <w:szCs w:val="24"/>
          <w:lang w:val="en-US"/>
        </w:rPr>
        <w:t xml:space="preserve"> </w:t>
      </w:r>
      <w:r w:rsidRPr="005B337D">
        <w:rPr>
          <w:rFonts w:ascii="Calibri" w:hAnsi="Calibri" w:cs="Calibri"/>
          <w:sz w:val="24"/>
          <w:szCs w:val="24"/>
          <w:lang w:val="en-US"/>
        </w:rPr>
        <w:t>; Biomedical Centre, Faculty of Medicine in Pilsen, Charles University in Prague, Pilsen</w:t>
      </w:r>
    </w:p>
    <w:p w:rsidR="00FC0CB8"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Martin Kačer, MD, Department of Internal Medicine I, Charles University Teaching Hospita</w:t>
      </w:r>
      <w:r>
        <w:rPr>
          <w:rFonts w:ascii="Calibri" w:hAnsi="Calibri" w:cs="Calibri"/>
          <w:sz w:val="24"/>
          <w:szCs w:val="24"/>
          <w:lang w:val="en-US"/>
        </w:rPr>
        <w:t xml:space="preserve">l, </w:t>
      </w:r>
      <w:r w:rsidRPr="005B337D">
        <w:rPr>
          <w:rFonts w:ascii="Calibri" w:hAnsi="Calibri" w:cs="Calibri"/>
          <w:sz w:val="24"/>
          <w:szCs w:val="24"/>
          <w:lang w:val="en-US"/>
        </w:rPr>
        <w:t>Pilsen; Biomedical Centre, Faculty of Medicine in Pilsen, Charles University in Prague, Pilsen</w:t>
      </w:r>
    </w:p>
    <w:p w:rsidR="00FC0CB8" w:rsidRPr="005B337D" w:rsidRDefault="00FC0CB8" w:rsidP="00E053A4">
      <w:pPr>
        <w:spacing w:line="360" w:lineRule="auto"/>
        <w:jc w:val="both"/>
        <w:rPr>
          <w:rFonts w:ascii="Calibri" w:hAnsi="Calibri" w:cs="Calibri"/>
          <w:sz w:val="24"/>
          <w:szCs w:val="24"/>
          <w:lang w:val="en-US"/>
        </w:rPr>
      </w:pPr>
      <w:r w:rsidRPr="005B337D">
        <w:rPr>
          <w:rFonts w:ascii="Calibri" w:hAnsi="Calibri" w:cs="Calibri"/>
          <w:sz w:val="24"/>
          <w:szCs w:val="24"/>
          <w:lang w:val="en-US"/>
        </w:rPr>
        <w:t>Irena Brabcová, MSc, PhD, Department of Transplant Laboratory, Institute for Clinical and Experimental Medicine, Prague, Faculty of Medicine in Pilsen, Charles University in Prague, Pilsen</w:t>
      </w:r>
    </w:p>
    <w:p w:rsidR="00FC0CB8" w:rsidRPr="005B337D" w:rsidRDefault="00FC0CB8" w:rsidP="00E053A4">
      <w:pPr>
        <w:spacing w:line="360" w:lineRule="auto"/>
        <w:jc w:val="both"/>
        <w:rPr>
          <w:rFonts w:ascii="Calibri" w:hAnsi="Calibri" w:cs="Calibri"/>
          <w:sz w:val="24"/>
          <w:szCs w:val="24"/>
          <w:lang w:val="en-US"/>
        </w:rPr>
      </w:pPr>
    </w:p>
    <w:p w:rsidR="00FC0CB8" w:rsidRPr="005B337D" w:rsidRDefault="00FC0CB8" w:rsidP="00E053A4">
      <w:pPr>
        <w:spacing w:line="360" w:lineRule="auto"/>
        <w:jc w:val="both"/>
        <w:rPr>
          <w:rFonts w:ascii="Calibri" w:hAnsi="Calibri" w:cs="Calibri"/>
          <w:b/>
          <w:sz w:val="24"/>
          <w:szCs w:val="24"/>
          <w:lang w:val="en-US"/>
        </w:rPr>
      </w:pPr>
      <w:r w:rsidRPr="005B337D">
        <w:rPr>
          <w:rFonts w:ascii="Calibri" w:hAnsi="Calibri" w:cs="Calibri"/>
          <w:b/>
          <w:sz w:val="24"/>
          <w:szCs w:val="24"/>
          <w:lang w:val="en-US"/>
        </w:rPr>
        <w:t>Funding</w:t>
      </w:r>
    </w:p>
    <w:p w:rsidR="00FC0CB8" w:rsidRPr="00913E3E" w:rsidRDefault="00FC0CB8" w:rsidP="00E053A4">
      <w:pPr>
        <w:spacing w:line="360" w:lineRule="auto"/>
        <w:jc w:val="both"/>
        <w:rPr>
          <w:rFonts w:ascii="Calibri" w:hAnsi="Calibri" w:cs="Calibri"/>
          <w:sz w:val="24"/>
          <w:szCs w:val="24"/>
          <w:lang w:val="en-US"/>
        </w:rPr>
      </w:pPr>
      <w:proofErr w:type="gramStart"/>
      <w:r w:rsidRPr="00C77B0E">
        <w:rPr>
          <w:rFonts w:asciiTheme="minorHAnsi" w:hAnsiTheme="minorHAnsi" w:cs="Calibri"/>
          <w:sz w:val="24"/>
          <w:szCs w:val="24"/>
          <w:lang w:val="en-US"/>
        </w:rPr>
        <w:t>Supported by th</w:t>
      </w:r>
      <w:r w:rsidR="00C77B0E" w:rsidRPr="00C77B0E">
        <w:rPr>
          <w:rFonts w:asciiTheme="minorHAnsi" w:hAnsiTheme="minorHAnsi" w:cs="Calibri"/>
          <w:sz w:val="24"/>
          <w:szCs w:val="24"/>
          <w:lang w:val="en-US"/>
        </w:rPr>
        <w:t xml:space="preserve">e project </w:t>
      </w:r>
      <w:r w:rsidR="00C77B0E" w:rsidRPr="00C77B0E">
        <w:rPr>
          <w:rFonts w:ascii="Calibri" w:hAnsi="Calibri" w:cs="Arial"/>
          <w:sz w:val="24"/>
          <w:szCs w:val="24"/>
        </w:rPr>
        <w:t>ED2.1.00/03.0076</w:t>
      </w:r>
      <w:r w:rsidRPr="00C77B0E">
        <w:rPr>
          <w:rFonts w:asciiTheme="minorHAnsi" w:hAnsiTheme="minorHAnsi" w:cs="Calibri"/>
          <w:sz w:val="24"/>
          <w:szCs w:val="24"/>
          <w:lang w:val="en-US"/>
        </w:rPr>
        <w:t xml:space="preserve"> from European</w:t>
      </w:r>
      <w:r w:rsidRPr="00913E3E">
        <w:rPr>
          <w:rFonts w:ascii="Calibri" w:hAnsi="Calibri" w:cs="Calibri"/>
          <w:sz w:val="24"/>
          <w:szCs w:val="24"/>
          <w:lang w:val="en-US"/>
        </w:rPr>
        <w:t xml:space="preserve"> Regional Development Fund and by the </w:t>
      </w:r>
      <w:r w:rsidRPr="00913E3E">
        <w:rPr>
          <w:rFonts w:ascii="Calibri" w:hAnsi="Calibri"/>
          <w:sz w:val="24"/>
          <w:szCs w:val="24"/>
          <w:lang w:val="en-US"/>
        </w:rPr>
        <w:t>Charles University Research Fund (project number P36).</w:t>
      </w:r>
      <w:proofErr w:type="gramEnd"/>
    </w:p>
    <w:p w:rsidR="00FC0CB8" w:rsidRPr="005B337D" w:rsidRDefault="00FC0CB8" w:rsidP="00E053A4">
      <w:pPr>
        <w:spacing w:line="360" w:lineRule="auto"/>
        <w:jc w:val="both"/>
        <w:rPr>
          <w:rFonts w:ascii="Calibri" w:hAnsi="Calibri" w:cs="Calibri"/>
          <w:sz w:val="24"/>
          <w:szCs w:val="24"/>
          <w:lang w:val="en-US"/>
        </w:rPr>
      </w:pPr>
    </w:p>
    <w:p w:rsidR="00FC0CB8" w:rsidRPr="005B337D" w:rsidRDefault="00FC0CB8" w:rsidP="00E053A4">
      <w:pPr>
        <w:spacing w:line="360" w:lineRule="auto"/>
        <w:jc w:val="both"/>
        <w:rPr>
          <w:rFonts w:ascii="Calibri" w:hAnsi="Calibri" w:cs="Calibri"/>
          <w:sz w:val="24"/>
          <w:szCs w:val="24"/>
          <w:lang w:val="en-US"/>
        </w:rPr>
      </w:pPr>
    </w:p>
    <w:p w:rsidR="00FC0CB8" w:rsidRPr="005B337D" w:rsidRDefault="00FC0CB8" w:rsidP="00E053A4">
      <w:pPr>
        <w:spacing w:line="360" w:lineRule="auto"/>
        <w:jc w:val="both"/>
        <w:rPr>
          <w:sz w:val="28"/>
          <w:lang w:val="en-US"/>
        </w:rPr>
      </w:pPr>
    </w:p>
    <w:p w:rsidR="00FC0CB8" w:rsidRPr="002B39C3" w:rsidRDefault="00FC0CB8" w:rsidP="00E053A4">
      <w:pPr>
        <w:spacing w:line="360" w:lineRule="auto"/>
        <w:jc w:val="both"/>
        <w:rPr>
          <w:rFonts w:asciiTheme="minorHAnsi" w:hAnsiTheme="minorHAnsi" w:cs="Calibri"/>
          <w:b/>
          <w:sz w:val="24"/>
          <w:szCs w:val="24"/>
          <w:lang w:val="en-US"/>
        </w:rPr>
      </w:pPr>
      <w:r w:rsidRPr="005B337D">
        <w:rPr>
          <w:b/>
          <w:smallCaps/>
          <w:sz w:val="32"/>
          <w:lang w:val="en-US"/>
        </w:rPr>
        <w:br w:type="page"/>
      </w:r>
      <w:r w:rsidRPr="002B39C3">
        <w:rPr>
          <w:rFonts w:asciiTheme="minorHAnsi" w:hAnsiTheme="minorHAnsi" w:cs="Calibri"/>
          <w:b/>
          <w:sz w:val="24"/>
          <w:szCs w:val="24"/>
          <w:lang w:val="en-US"/>
        </w:rPr>
        <w:lastRenderedPageBreak/>
        <w:t>Background</w:t>
      </w:r>
    </w:p>
    <w:p w:rsidR="00FC0CB8" w:rsidRDefault="00FC0CB8" w:rsidP="00E053A4">
      <w:pPr>
        <w:spacing w:line="360" w:lineRule="auto"/>
        <w:jc w:val="both"/>
        <w:rPr>
          <w:rFonts w:asciiTheme="minorHAnsi" w:hAnsiTheme="minorHAnsi"/>
          <w:sz w:val="24"/>
          <w:lang w:val="en-US"/>
        </w:rPr>
      </w:pPr>
      <w:r w:rsidRPr="002B39C3">
        <w:rPr>
          <w:rFonts w:asciiTheme="minorHAnsi" w:hAnsiTheme="minorHAnsi"/>
          <w:sz w:val="24"/>
          <w:lang w:val="en-US"/>
        </w:rPr>
        <w:t>Cytomegalovirus (CMV) is the most common</w:t>
      </w:r>
      <w:r w:rsidRPr="002B39C3">
        <w:rPr>
          <w:rFonts w:asciiTheme="minorHAnsi" w:hAnsiTheme="minorHAnsi"/>
          <w:sz w:val="24"/>
          <w:shd w:val="clear" w:color="auto" w:fill="FFFFFF"/>
          <w:lang w:val="en-US"/>
        </w:rPr>
        <w:t xml:space="preserve"> </w:t>
      </w:r>
      <w:r w:rsidRPr="002B39C3">
        <w:rPr>
          <w:rFonts w:asciiTheme="minorHAnsi" w:hAnsiTheme="minorHAnsi"/>
          <w:sz w:val="24"/>
          <w:lang w:val="en-US"/>
        </w:rPr>
        <w:t>opportunistic pathogen in solid organ transplant recipients.</w:t>
      </w:r>
      <w:r w:rsidR="007B794F" w:rsidRPr="002B39C3">
        <w:rPr>
          <w:rFonts w:asciiTheme="minorHAnsi" w:hAnsiTheme="minorHAnsi"/>
          <w:sz w:val="24"/>
          <w:lang w:val="en-US"/>
        </w:rPr>
        <w:fldChar w:fldCharType="begin"/>
      </w:r>
      <w:r w:rsidRPr="002B39C3">
        <w:rPr>
          <w:rFonts w:asciiTheme="minorHAnsi" w:hAnsiTheme="minorHAnsi"/>
          <w:sz w:val="24"/>
          <w:lang w:val="en-US"/>
        </w:rPr>
        <w:instrText xml:space="preserve"> ADDIN EN.CITE &lt;EndNote&gt;&lt;Cite&gt;&lt;Author&gt;Fishman&lt;/Author&gt;&lt;Year&gt;2007&lt;/Year&gt;&lt;RecNum&gt;27&lt;/RecNum&gt;&lt;record&gt;&lt;rec-number&gt;27&lt;/rec-number&gt;&lt;foreign-keys&gt;&lt;key app="EN" db-id="sfze9w5dgvr5s9er90px9a5w25ap0rta0a22"&gt;27&lt;/key&gt;&lt;/foreign-keys&gt;&lt;ref-type name="Journal Article"&gt;17&lt;/ref-type&gt;&lt;contributors&gt;&lt;authors&gt;&lt;author&gt;Fishman, J. A.&lt;/author&gt;&lt;/authors&gt;&lt;/contributors&gt;&lt;auth-address&gt;Transplant Infectious Disease and Compromised Host Program, Massachusetts General Hospital, and Harvard Medical School, Boston, MA 02114, USA. jfishman@partners.org&lt;/auth-address&gt;&lt;titles&gt;&lt;title&gt;Infection in solid-organ transplant recipients&lt;/title&gt;&lt;secondary-title&gt;N Engl J Med&lt;/secondary-title&gt;&lt;/titles&gt;&lt;periodical&gt;&lt;full-title&gt;N Engl J Med&lt;/full-title&gt;&lt;/periodical&gt;&lt;pages&gt;2601-14&lt;/pages&gt;&lt;volume&gt;357&lt;/volume&gt;&lt;number&gt;25&lt;/number&gt;&lt;edition&gt;2007/12/21&lt;/edition&gt;&lt;keywords&gt;&lt;keyword&gt;Antiviral Agents/therapeutic use&lt;/keyword&gt;&lt;keyword&gt;Cytomegalovirus Infections/diagnosis/epidemiology/prevention &amp;amp; control&lt;/keyword&gt;&lt;keyword&gt;Epstein-Barr Virus Infections/diagnosis/therapy&lt;/keyword&gt;&lt;keyword&gt;Humans&lt;/keyword&gt;&lt;keyword&gt;Immunocompromised Host&lt;/keyword&gt;&lt;keyword&gt;Immunosuppressive Agents/adverse effects&lt;/keyword&gt;&lt;keyword&gt;Opportunistic Infections/etiology/microbiology/ prevention &amp;amp; control&lt;/keyword&gt;&lt;keyword&gt;Organ Transplantation/ adverse effects&lt;/keyword&gt;&lt;keyword&gt;Polyomavirus Infections/diagnosis/therapy&lt;/keyword&gt;&lt;keyword&gt;Postoperative Complications/epidemiology/ prevention &amp;amp; control&lt;/keyword&gt;&lt;keyword&gt;Risk&lt;/keyword&gt;&lt;keyword&gt;Transplantation Immunology&lt;/keyword&gt;&lt;/keywords&gt;&lt;dates&gt;&lt;year&gt;2007&lt;/year&gt;&lt;pub-dates&gt;&lt;date&gt;Dec 20&lt;/date&gt;&lt;/pub-dates&gt;&lt;/dates&gt;&lt;isbn&gt;1533-4406 (Electronic)&amp;#xD;0028-4793 (Linking)&lt;/isbn&gt;&lt;accession-num&gt;18094380&lt;/accession-num&gt;&lt;urls&gt;&lt;/urls&gt;&lt;electronic-resource-num&gt;357/25/2601 [pii]&amp;#xD;10.1056/NEJMra064928 [doi]&lt;/electronic-resource-num&gt;&lt;language&gt;eng&lt;/language&gt;&lt;/record&gt;&lt;/Cite&gt;&lt;/EndNote&gt;</w:instrText>
      </w:r>
      <w:r w:rsidR="007B794F" w:rsidRPr="002B39C3">
        <w:rPr>
          <w:rFonts w:asciiTheme="minorHAnsi" w:hAnsiTheme="minorHAnsi"/>
          <w:sz w:val="24"/>
          <w:lang w:val="en-US"/>
        </w:rPr>
        <w:fldChar w:fldCharType="separate"/>
      </w:r>
      <w:r w:rsidRPr="002B39C3">
        <w:rPr>
          <w:rFonts w:asciiTheme="minorHAnsi" w:hAnsiTheme="minorHAnsi"/>
          <w:sz w:val="24"/>
          <w:vertAlign w:val="superscript"/>
          <w:lang w:val="en-US"/>
        </w:rPr>
        <w:t>1</w:t>
      </w:r>
      <w:r w:rsidR="007B794F" w:rsidRPr="002B39C3">
        <w:rPr>
          <w:rFonts w:asciiTheme="minorHAnsi" w:hAnsiTheme="minorHAnsi"/>
          <w:sz w:val="24"/>
          <w:lang w:val="en-US"/>
        </w:rPr>
        <w:fldChar w:fldCharType="end"/>
      </w:r>
      <w:r w:rsidRPr="002B39C3">
        <w:rPr>
          <w:rFonts w:asciiTheme="minorHAnsi" w:hAnsiTheme="minorHAnsi"/>
          <w:sz w:val="24"/>
          <w:lang w:val="en-US"/>
        </w:rPr>
        <w:t xml:space="preserve"> The main challenge are indirect effects associated not only with </w:t>
      </w:r>
      <w:r w:rsidRPr="002B39C3">
        <w:rPr>
          <w:rFonts w:asciiTheme="minorHAnsi" w:hAnsiTheme="minorHAnsi"/>
          <w:sz w:val="24"/>
          <w:shd w:val="clear" w:color="auto" w:fill="FFFFFF"/>
          <w:lang w:val="en-US"/>
        </w:rPr>
        <w:t xml:space="preserve">CMV disease </w:t>
      </w:r>
      <w:r w:rsidRPr="002B39C3">
        <w:rPr>
          <w:rFonts w:asciiTheme="minorHAnsi" w:hAnsiTheme="minorHAnsi"/>
          <w:sz w:val="24"/>
          <w:lang w:val="en-US"/>
        </w:rPr>
        <w:t xml:space="preserve">but, also, with asymptomatic CMV viremia. </w:t>
      </w:r>
      <w:r w:rsidRPr="002B39C3">
        <w:rPr>
          <w:rFonts w:asciiTheme="minorHAnsi" w:hAnsiTheme="minorHAnsi"/>
          <w:sz w:val="24"/>
          <w:shd w:val="clear" w:color="auto" w:fill="FFFFFF"/>
          <w:lang w:val="en-US"/>
        </w:rPr>
        <w:t xml:space="preserve">CMV </w:t>
      </w:r>
      <w:r w:rsidRPr="002B39C3">
        <w:rPr>
          <w:rFonts w:asciiTheme="minorHAnsi" w:hAnsiTheme="minorHAnsi"/>
          <w:sz w:val="24"/>
          <w:lang w:val="en-US"/>
        </w:rPr>
        <w:t>enhances the immune response to alloantigens, which may result in an increased incidence of acute allograft rejection episodes or interstitial fibrosis and tubular atrophy (IF/TA) after renal transplantation</w:t>
      </w:r>
      <w:r w:rsidR="007B794F" w:rsidRPr="002B39C3">
        <w:rPr>
          <w:rFonts w:asciiTheme="minorHAnsi" w:hAnsiTheme="minorHAnsi"/>
          <w:sz w:val="24"/>
          <w:lang w:val="en-US"/>
        </w:rPr>
        <w:fldChar w:fldCharType="begin">
          <w:fldData xml:space="preserve">PEVuZE5vdGU+PENpdGU+PEF1dGhvcj5SZWlzY2hpZzwvQXV0aG9yPjxZZWFyPjIwMTA8L1llYXI+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=
</w:fldData>
        </w:fldChar>
      </w:r>
      <w:r w:rsidRPr="002B39C3">
        <w:rPr>
          <w:rFonts w:asciiTheme="minorHAnsi" w:hAnsiTheme="minorHAnsi"/>
          <w:sz w:val="24"/>
          <w:lang w:val="en-US"/>
        </w:rPr>
        <w:instrText xml:space="preserve"> ADDIN EN.CITE </w:instrText>
      </w:r>
      <w:r w:rsidR="007B794F" w:rsidRPr="002B39C3">
        <w:rPr>
          <w:rFonts w:asciiTheme="minorHAnsi" w:hAnsiTheme="minorHAnsi"/>
          <w:sz w:val="24"/>
          <w:lang w:val="en-US"/>
        </w:rPr>
        <w:fldChar w:fldCharType="begin">
          <w:fldData xml:space="preserve">PEVuZE5vdGU+PENpdGU+PEF1dGhvcj5SZWlzY2hpZzwvQXV0aG9yPjxZZWFyPjIwMTA8L1llYXI+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=
</w:fldData>
        </w:fldChar>
      </w:r>
      <w:r w:rsidRPr="002B39C3">
        <w:rPr>
          <w:rFonts w:asciiTheme="minorHAnsi" w:hAnsiTheme="minorHAnsi"/>
          <w:sz w:val="24"/>
          <w:lang w:val="en-US"/>
        </w:rPr>
        <w:instrText xml:space="preserve"> ADDIN EN.CITE.DATA </w:instrText>
      </w:r>
      <w:r w:rsidR="007B794F" w:rsidRPr="002B39C3">
        <w:rPr>
          <w:rFonts w:asciiTheme="minorHAnsi" w:hAnsiTheme="minorHAnsi"/>
          <w:sz w:val="24"/>
          <w:lang w:val="en-US"/>
        </w:rPr>
      </w:r>
      <w:r w:rsidR="007B794F" w:rsidRPr="002B39C3">
        <w:rPr>
          <w:rFonts w:asciiTheme="minorHAnsi" w:hAnsiTheme="minorHAnsi"/>
          <w:sz w:val="24"/>
          <w:lang w:val="en-US"/>
        </w:rPr>
        <w:fldChar w:fldCharType="end"/>
      </w:r>
      <w:r w:rsidR="007B794F" w:rsidRPr="002B39C3">
        <w:rPr>
          <w:rFonts w:asciiTheme="minorHAnsi" w:hAnsiTheme="minorHAnsi"/>
          <w:sz w:val="24"/>
          <w:lang w:val="en-US"/>
        </w:rPr>
      </w:r>
      <w:r w:rsidR="007B794F" w:rsidRPr="002B39C3">
        <w:rPr>
          <w:rFonts w:asciiTheme="minorHAnsi" w:hAnsiTheme="minorHAnsi"/>
          <w:sz w:val="24"/>
          <w:lang w:val="en-US"/>
        </w:rPr>
        <w:fldChar w:fldCharType="separate"/>
      </w:r>
      <w:r w:rsidRPr="002B39C3">
        <w:rPr>
          <w:rFonts w:asciiTheme="minorHAnsi" w:hAnsiTheme="minorHAnsi"/>
          <w:sz w:val="24"/>
          <w:vertAlign w:val="superscript"/>
          <w:lang w:val="en-US"/>
        </w:rPr>
        <w:t>2-5</w:t>
      </w:r>
      <w:r w:rsidR="007B794F" w:rsidRPr="002B39C3">
        <w:rPr>
          <w:rFonts w:asciiTheme="minorHAnsi" w:hAnsiTheme="minorHAnsi"/>
          <w:sz w:val="24"/>
          <w:lang w:val="en-US"/>
        </w:rPr>
        <w:fldChar w:fldCharType="end"/>
      </w:r>
      <w:r w:rsidRPr="002B39C3">
        <w:rPr>
          <w:rFonts w:asciiTheme="minorHAnsi" w:hAnsiTheme="minorHAnsi"/>
          <w:sz w:val="24"/>
          <w:lang w:val="en-US"/>
        </w:rPr>
        <w:t xml:space="preserve"> and, eventually, to impaired graft survival.</w:t>
      </w:r>
      <w:r w:rsidR="007B794F" w:rsidRPr="002B39C3">
        <w:rPr>
          <w:rFonts w:asciiTheme="minorHAnsi" w:hAnsiTheme="minorHAnsi"/>
          <w:sz w:val="24"/>
          <w:lang w:val="en-US"/>
        </w:rPr>
        <w:fldChar w:fldCharType="begin">
          <w:fldData xml:space="preserve">PEVuZE5vdGU+PENpdGU+PEF1dGhvcj5TYWdlZGFsPC9BdXRob3I+PFllYXI+MjAwNDwvWWVhcj48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</w:fldData>
        </w:fldChar>
      </w:r>
      <w:r w:rsidRPr="002B39C3">
        <w:rPr>
          <w:rFonts w:asciiTheme="minorHAnsi" w:hAnsiTheme="minorHAnsi"/>
          <w:sz w:val="24"/>
          <w:lang w:val="en-US"/>
        </w:rPr>
        <w:instrText xml:space="preserve"> ADDIN EN.CITE </w:instrText>
      </w:r>
      <w:r w:rsidR="007B794F" w:rsidRPr="002B39C3">
        <w:rPr>
          <w:rFonts w:asciiTheme="minorHAnsi" w:hAnsiTheme="minorHAnsi"/>
          <w:sz w:val="24"/>
          <w:lang w:val="en-US"/>
        </w:rPr>
        <w:fldChar w:fldCharType="begin">
          <w:fldData xml:space="preserve">PEVuZE5vdGU+PENpdGU+PEF1dGhvcj5TYWdlZGFsPC9BdXRob3I+PFllYXI+MjAwNDwvWWVhcj48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</w:fldData>
        </w:fldChar>
      </w:r>
      <w:r w:rsidRPr="002B39C3">
        <w:rPr>
          <w:rFonts w:asciiTheme="minorHAnsi" w:hAnsiTheme="minorHAnsi"/>
          <w:sz w:val="24"/>
          <w:lang w:val="en-US"/>
        </w:rPr>
        <w:instrText xml:space="preserve"> ADDIN EN.CITE.DATA </w:instrText>
      </w:r>
      <w:r w:rsidR="007B794F" w:rsidRPr="002B39C3">
        <w:rPr>
          <w:rFonts w:asciiTheme="minorHAnsi" w:hAnsiTheme="minorHAnsi"/>
          <w:sz w:val="24"/>
          <w:lang w:val="en-US"/>
        </w:rPr>
      </w:r>
      <w:r w:rsidR="007B794F" w:rsidRPr="002B39C3">
        <w:rPr>
          <w:rFonts w:asciiTheme="minorHAnsi" w:hAnsiTheme="minorHAnsi"/>
          <w:sz w:val="24"/>
          <w:lang w:val="en-US"/>
        </w:rPr>
        <w:fldChar w:fldCharType="end"/>
      </w:r>
      <w:r w:rsidR="007B794F" w:rsidRPr="002B39C3">
        <w:rPr>
          <w:rFonts w:asciiTheme="minorHAnsi" w:hAnsiTheme="minorHAnsi"/>
          <w:sz w:val="24"/>
          <w:lang w:val="en-US"/>
        </w:rPr>
      </w:r>
      <w:r w:rsidR="007B794F" w:rsidRPr="002B39C3">
        <w:rPr>
          <w:rFonts w:asciiTheme="minorHAnsi" w:hAnsiTheme="minorHAnsi"/>
          <w:sz w:val="24"/>
          <w:lang w:val="en-US"/>
        </w:rPr>
        <w:fldChar w:fldCharType="separate"/>
      </w:r>
      <w:r w:rsidRPr="002B39C3">
        <w:rPr>
          <w:rFonts w:asciiTheme="minorHAnsi" w:hAnsiTheme="minorHAnsi"/>
          <w:sz w:val="24"/>
          <w:vertAlign w:val="superscript"/>
          <w:lang w:val="en-US"/>
        </w:rPr>
        <w:t>6</w:t>
      </w:r>
      <w:r w:rsidR="007B794F" w:rsidRPr="002B39C3">
        <w:rPr>
          <w:rFonts w:asciiTheme="minorHAnsi" w:hAnsiTheme="minorHAnsi"/>
          <w:sz w:val="24"/>
          <w:lang w:val="en-US"/>
        </w:rPr>
        <w:fldChar w:fldCharType="end"/>
      </w:r>
      <w:r w:rsidRPr="002B39C3">
        <w:rPr>
          <w:rFonts w:asciiTheme="minorHAnsi" w:hAnsiTheme="minorHAnsi"/>
          <w:sz w:val="24"/>
          <w:lang w:val="en-US"/>
        </w:rPr>
        <w:t xml:space="preserve"> While the optimal strategy of CMV prevention has the potential to improve the long-term outcomes of transplantation, CMV prevention continues to be a subject of controversy. The 2010 International Consensus Guidelines admits both main strategies: universal antiviral prophylaxis and pre-emptive therapy.</w:t>
      </w:r>
      <w:r w:rsidR="007B794F" w:rsidRPr="002B39C3">
        <w:rPr>
          <w:rFonts w:asciiTheme="minorHAnsi" w:hAnsiTheme="minorHAnsi"/>
          <w:sz w:val="24"/>
          <w:lang w:val="en-US"/>
        </w:rPr>
        <w:fldChar w:fldCharType="begin">
          <w:fldData xml:space="preserve">PEVuZE5vdGU+PENpdGU+PEF1dGhvcj5Lb3R0b248L0F1dGhvcj48WWVhcj4yMDEwPC9ZZWFyPjxS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</w:fldData>
        </w:fldChar>
      </w:r>
      <w:r w:rsidRPr="002B39C3">
        <w:rPr>
          <w:rFonts w:asciiTheme="minorHAnsi" w:hAnsiTheme="minorHAnsi"/>
          <w:sz w:val="24"/>
          <w:lang w:val="en-US"/>
        </w:rPr>
        <w:instrText xml:space="preserve"> ADDIN EN.CITE </w:instrText>
      </w:r>
      <w:r w:rsidR="007B794F" w:rsidRPr="002B39C3">
        <w:rPr>
          <w:rFonts w:asciiTheme="minorHAnsi" w:hAnsiTheme="minorHAnsi"/>
          <w:sz w:val="24"/>
          <w:lang w:val="en-US"/>
        </w:rPr>
        <w:fldChar w:fldCharType="begin">
          <w:fldData xml:space="preserve">PEVuZE5vdGU+PENpdGU+PEF1dGhvcj5Lb3R0b248L0F1dGhvcj48WWVhcj4yMDEwPC9ZZWFyPjxS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</w:fldData>
        </w:fldChar>
      </w:r>
      <w:r w:rsidRPr="002B39C3">
        <w:rPr>
          <w:rFonts w:asciiTheme="minorHAnsi" w:hAnsiTheme="minorHAnsi"/>
          <w:sz w:val="24"/>
          <w:lang w:val="en-US"/>
        </w:rPr>
        <w:instrText xml:space="preserve"> ADDIN EN.CITE.DATA </w:instrText>
      </w:r>
      <w:r w:rsidR="007B794F" w:rsidRPr="002B39C3">
        <w:rPr>
          <w:rFonts w:asciiTheme="minorHAnsi" w:hAnsiTheme="minorHAnsi"/>
          <w:sz w:val="24"/>
          <w:lang w:val="en-US"/>
        </w:rPr>
      </w:r>
      <w:r w:rsidR="007B794F" w:rsidRPr="002B39C3">
        <w:rPr>
          <w:rFonts w:asciiTheme="minorHAnsi" w:hAnsiTheme="minorHAnsi"/>
          <w:sz w:val="24"/>
          <w:lang w:val="en-US"/>
        </w:rPr>
        <w:fldChar w:fldCharType="end"/>
      </w:r>
      <w:r w:rsidR="007B794F" w:rsidRPr="002B39C3">
        <w:rPr>
          <w:rFonts w:asciiTheme="minorHAnsi" w:hAnsiTheme="minorHAnsi"/>
          <w:sz w:val="24"/>
          <w:lang w:val="en-US"/>
        </w:rPr>
      </w:r>
      <w:r w:rsidR="007B794F" w:rsidRPr="002B39C3">
        <w:rPr>
          <w:rFonts w:asciiTheme="minorHAnsi" w:hAnsiTheme="minorHAnsi"/>
          <w:sz w:val="24"/>
          <w:lang w:val="en-US"/>
        </w:rPr>
        <w:fldChar w:fldCharType="separate"/>
      </w:r>
      <w:r w:rsidRPr="002B39C3">
        <w:rPr>
          <w:rFonts w:asciiTheme="minorHAnsi" w:hAnsiTheme="minorHAnsi"/>
          <w:sz w:val="24"/>
          <w:vertAlign w:val="superscript"/>
          <w:lang w:val="en-US"/>
        </w:rPr>
        <w:t>7</w:t>
      </w:r>
      <w:r w:rsidR="007B794F" w:rsidRPr="002B39C3">
        <w:rPr>
          <w:rFonts w:asciiTheme="minorHAnsi" w:hAnsiTheme="minorHAnsi"/>
          <w:sz w:val="24"/>
          <w:lang w:val="en-US"/>
        </w:rPr>
        <w:fldChar w:fldCharType="end"/>
      </w:r>
      <w:r w:rsidRPr="002B39C3">
        <w:rPr>
          <w:rFonts w:asciiTheme="minorHAnsi" w:hAnsiTheme="minorHAnsi"/>
          <w:sz w:val="24"/>
          <w:lang w:val="en-US"/>
        </w:rPr>
        <w:t xml:space="preserve"> Moreover, in a recent “2012 CMV and Solid Organ Transplant Consensus Guidelines Meeting, October 25-28, 2012, Saint-Sauveur, Canada” preference of either prophylaxis or pre-emptive therapy could not be recommended even in high-risk (CMV donor positive/recipient negative; D+/R-) kidney and liver transplant recipients. </w:t>
      </w:r>
    </w:p>
    <w:p w:rsidR="00E053A4" w:rsidRPr="002B39C3" w:rsidRDefault="00E053A4" w:rsidP="00E053A4">
      <w:pPr>
        <w:spacing w:line="360" w:lineRule="auto"/>
        <w:jc w:val="both"/>
        <w:rPr>
          <w:rFonts w:asciiTheme="minorHAnsi" w:hAnsiTheme="minorHAnsi"/>
          <w:sz w:val="24"/>
          <w:lang w:val="en-US"/>
        </w:rPr>
      </w:pPr>
    </w:p>
    <w:p w:rsidR="00FC0CB8" w:rsidRPr="002B39C3" w:rsidRDefault="00FC0CB8" w:rsidP="00E053A4">
      <w:pPr>
        <w:spacing w:line="360" w:lineRule="auto"/>
        <w:jc w:val="both"/>
        <w:rPr>
          <w:rFonts w:asciiTheme="minorHAnsi" w:hAnsiTheme="minorHAnsi"/>
          <w:sz w:val="24"/>
          <w:lang w:val="en-US"/>
        </w:rPr>
      </w:pPr>
      <w:r w:rsidRPr="002B39C3">
        <w:rPr>
          <w:rFonts w:asciiTheme="minorHAnsi" w:hAnsiTheme="minorHAnsi"/>
          <w:sz w:val="24"/>
          <w:lang w:val="en-US"/>
        </w:rPr>
        <w:t>Oral valganciclovir or valacyclovir (in kidney transplantation) for 3 months in D±/R+ population and for 6 months in D+/R- are the recommended agents in the case of prophylaxis.</w:t>
      </w:r>
      <w:r w:rsidRPr="002B39C3">
        <w:rPr>
          <w:rFonts w:asciiTheme="minorHAnsi" w:hAnsiTheme="minorHAnsi"/>
          <w:sz w:val="24"/>
          <w:vertAlign w:val="superscript"/>
          <w:lang w:val="en-US"/>
        </w:rPr>
        <w:t>8-10</w:t>
      </w:r>
      <w:r w:rsidRPr="002B39C3">
        <w:rPr>
          <w:rFonts w:asciiTheme="minorHAnsi" w:hAnsiTheme="minorHAnsi"/>
          <w:sz w:val="24"/>
          <w:lang w:val="en-US"/>
        </w:rPr>
        <w:t xml:space="preserve"> Pre-emptive therapy is based on prospective monitoring of CMV viral load by sensitive assays such as PCR from whole blood or plasma or pp65 Ag. Oral valganciclovir or intravenous ganciclovir at therapeutical doses are given if viral load exceeds predefined treshold. Intense CMV surveillance monitoring protocols (weekly for the first 3-4 months) are required to reach good results of pre-emptive therapy approach.</w:t>
      </w:r>
      <w:r w:rsidRPr="002B39C3">
        <w:rPr>
          <w:rFonts w:asciiTheme="minorHAnsi" w:hAnsiTheme="minorHAnsi"/>
          <w:sz w:val="24"/>
          <w:vertAlign w:val="superscript"/>
          <w:lang w:val="en-US"/>
        </w:rPr>
        <w:t>11-</w:t>
      </w:r>
      <w:smartTag w:uri="urn:schemas-microsoft-com:office:smarttags" w:element="metricconverter">
        <w:smartTagPr>
          <w:attr w:name="ProductID" w:val="13 In"/>
        </w:smartTagPr>
        <w:r w:rsidRPr="002B39C3">
          <w:rPr>
            <w:rFonts w:asciiTheme="minorHAnsi" w:hAnsiTheme="minorHAnsi"/>
            <w:sz w:val="24"/>
            <w:vertAlign w:val="superscript"/>
            <w:lang w:val="en-US"/>
          </w:rPr>
          <w:t>13</w:t>
        </w:r>
        <w:r w:rsidRPr="002B39C3">
          <w:rPr>
            <w:rFonts w:asciiTheme="minorHAnsi" w:hAnsiTheme="minorHAnsi"/>
            <w:sz w:val="24"/>
            <w:lang w:val="en-US"/>
          </w:rPr>
          <w:t xml:space="preserve"> In</w:t>
        </w:r>
      </w:smartTag>
      <w:r w:rsidRPr="002B39C3">
        <w:rPr>
          <w:rFonts w:asciiTheme="minorHAnsi" w:hAnsiTheme="minorHAnsi"/>
          <w:sz w:val="24"/>
          <w:lang w:val="en-US"/>
        </w:rPr>
        <w:t xml:space="preserve"> contrast, less intense monitoring led to failure in sufficient prevention of CMV disease or long-term indirect effects.</w:t>
      </w:r>
      <w:r w:rsidRPr="002B39C3">
        <w:rPr>
          <w:rFonts w:asciiTheme="minorHAnsi" w:hAnsiTheme="minorHAnsi"/>
          <w:sz w:val="24"/>
          <w:vertAlign w:val="superscript"/>
          <w:lang w:val="en-US"/>
        </w:rPr>
        <w:t>14,15</w:t>
      </w:r>
    </w:p>
    <w:p w:rsidR="00FC0CB8" w:rsidRPr="002B39C3" w:rsidRDefault="00FC0CB8" w:rsidP="00E053A4">
      <w:pPr>
        <w:spacing w:line="360" w:lineRule="auto"/>
        <w:jc w:val="both"/>
        <w:rPr>
          <w:rFonts w:asciiTheme="minorHAnsi" w:hAnsiTheme="minorHAnsi"/>
          <w:sz w:val="24"/>
          <w:lang w:val="en-US"/>
        </w:rPr>
      </w:pPr>
    </w:p>
    <w:p w:rsidR="00FC0CB8" w:rsidRPr="002B39C3" w:rsidRDefault="00FC0CB8" w:rsidP="00E053A4">
      <w:pPr>
        <w:spacing w:line="360" w:lineRule="auto"/>
        <w:jc w:val="both"/>
        <w:rPr>
          <w:rFonts w:asciiTheme="minorHAnsi" w:hAnsiTheme="minorHAnsi"/>
          <w:sz w:val="24"/>
          <w:lang w:val="en-US"/>
        </w:rPr>
      </w:pPr>
      <w:r w:rsidRPr="002B39C3">
        <w:rPr>
          <w:rFonts w:asciiTheme="minorHAnsi" w:hAnsiTheme="minorHAnsi"/>
          <w:sz w:val="24"/>
          <w:lang w:val="en-US"/>
        </w:rPr>
        <w:t xml:space="preserve">Except for antiviral drugs side effects late-onset CMV disease and CMV viremia after prophylaxis </w:t>
      </w:r>
      <w:r w:rsidRPr="002B39C3">
        <w:rPr>
          <w:rFonts w:asciiTheme="minorHAnsi" w:hAnsiTheme="minorHAnsi"/>
          <w:sz w:val="24"/>
          <w:szCs w:val="24"/>
          <w:lang w:val="en-US"/>
        </w:rPr>
        <w:t>completion are the major disadvantages of universal prophylaxis. The incidence of late-onset CMV disease is particularly high in D+/R- patients with clear association with long-term CMV indirect effects such as higher risk of graft loss.</w:t>
      </w:r>
      <w:r w:rsidRPr="002B39C3">
        <w:rPr>
          <w:rFonts w:asciiTheme="minorHAnsi" w:hAnsiTheme="minorHAnsi"/>
          <w:sz w:val="24"/>
          <w:szCs w:val="24"/>
          <w:vertAlign w:val="superscript"/>
          <w:lang w:val="en-US"/>
        </w:rPr>
        <w:t>8-10,16</w:t>
      </w:r>
      <w:r w:rsidRPr="002B39C3">
        <w:rPr>
          <w:rFonts w:asciiTheme="minorHAnsi" w:hAnsiTheme="minorHAnsi"/>
          <w:sz w:val="24"/>
          <w:szCs w:val="24"/>
          <w:lang w:val="en-US"/>
        </w:rPr>
        <w:t xml:space="preserve"> Asymptomatic late-onset CMV viremia is common (~50%) even in moderate-risk population.</w:t>
      </w:r>
      <w:r w:rsidRPr="002B39C3">
        <w:rPr>
          <w:rFonts w:asciiTheme="minorHAnsi" w:hAnsiTheme="minorHAnsi"/>
          <w:sz w:val="24"/>
          <w:szCs w:val="24"/>
          <w:vertAlign w:val="superscript"/>
          <w:lang w:val="en-US"/>
        </w:rPr>
        <w:t>11,12</w:t>
      </w:r>
      <w:r w:rsidRPr="002B39C3">
        <w:rPr>
          <w:rFonts w:asciiTheme="minorHAnsi" w:hAnsiTheme="minorHAnsi"/>
          <w:sz w:val="24"/>
          <w:szCs w:val="24"/>
          <w:lang w:val="en-US"/>
        </w:rPr>
        <w:t xml:space="preserve"> Although there is limited data on the impact of late-onset CMV viremia several new studies reported higher incidence of IF/TA and impaired graft survival in patients experienced late-onset viremia.</w:t>
      </w:r>
      <w:r w:rsidRPr="002B39C3">
        <w:rPr>
          <w:rFonts w:asciiTheme="minorHAnsi" w:hAnsiTheme="minorHAnsi"/>
          <w:sz w:val="24"/>
          <w:szCs w:val="24"/>
          <w:vertAlign w:val="superscript"/>
          <w:lang w:val="en-US"/>
        </w:rPr>
        <w:t>5,17</w:t>
      </w:r>
      <w:r w:rsidRPr="002B39C3">
        <w:rPr>
          <w:rFonts w:asciiTheme="minorHAnsi" w:hAnsiTheme="minorHAnsi"/>
          <w:sz w:val="24"/>
          <w:szCs w:val="24"/>
          <w:lang w:val="en-US"/>
        </w:rPr>
        <w:t xml:space="preserve"> </w:t>
      </w:r>
      <w:r w:rsidRPr="002B39C3">
        <w:rPr>
          <w:rFonts w:asciiTheme="minorHAnsi" w:hAnsiTheme="minorHAnsi"/>
          <w:sz w:val="24"/>
          <w:szCs w:val="24"/>
          <w:lang w:val="en-US"/>
        </w:rPr>
        <w:lastRenderedPageBreak/>
        <w:t xml:space="preserve">At the same time, </w:t>
      </w:r>
      <w:r w:rsidRPr="002B39C3">
        <w:rPr>
          <w:rFonts w:asciiTheme="minorHAnsi" w:hAnsiTheme="minorHAnsi"/>
          <w:sz w:val="24"/>
          <w:lang w:val="en-US"/>
        </w:rPr>
        <w:t>doubts persist as to whether or not pre-emptive therapy affords adequate prevention against CMV indirect effects given the high incidence of asymptomatic CMV viremia in the early post-transplant period.</w:t>
      </w:r>
      <w:r w:rsidRPr="002B39C3">
        <w:rPr>
          <w:rFonts w:asciiTheme="minorHAnsi" w:hAnsiTheme="minorHAnsi"/>
          <w:sz w:val="24"/>
          <w:szCs w:val="24"/>
          <w:vertAlign w:val="superscript"/>
          <w:lang w:val="en-US"/>
        </w:rPr>
        <w:t>18,19</w:t>
      </w:r>
      <w:r w:rsidRPr="002B39C3">
        <w:rPr>
          <w:rFonts w:asciiTheme="minorHAnsi" w:hAnsiTheme="minorHAnsi"/>
          <w:sz w:val="24"/>
          <w:szCs w:val="24"/>
          <w:lang w:val="en-US"/>
        </w:rPr>
        <w:t xml:space="preserve"> </w:t>
      </w:r>
      <w:r w:rsidRPr="002B39C3">
        <w:rPr>
          <w:rFonts w:asciiTheme="minorHAnsi" w:hAnsiTheme="minorHAnsi"/>
          <w:sz w:val="24"/>
          <w:lang w:val="en-US"/>
        </w:rPr>
        <w:t>Although controlled by pre-emptive therapy CMV viremia was proved as an independent risk factor for IF/TA at 3 months after transplantation.</w:t>
      </w:r>
      <w:r w:rsidRPr="002B39C3">
        <w:rPr>
          <w:rFonts w:asciiTheme="minorHAnsi" w:hAnsiTheme="minorHAnsi"/>
          <w:sz w:val="24"/>
          <w:szCs w:val="24"/>
          <w:vertAlign w:val="superscript"/>
          <w:lang w:val="en-US"/>
        </w:rPr>
        <w:t>4</w:t>
      </w:r>
    </w:p>
    <w:p w:rsidR="00FC0CB8" w:rsidRPr="002B39C3" w:rsidRDefault="00FC0CB8" w:rsidP="00E053A4">
      <w:pPr>
        <w:spacing w:line="360" w:lineRule="auto"/>
        <w:jc w:val="both"/>
        <w:rPr>
          <w:rFonts w:asciiTheme="minorHAnsi" w:hAnsiTheme="minorHAnsi" w:cs="Calibri"/>
          <w:sz w:val="24"/>
          <w:szCs w:val="24"/>
          <w:lang w:val="en-US"/>
        </w:rPr>
      </w:pPr>
      <w:r w:rsidRPr="002B39C3">
        <w:rPr>
          <w:rFonts w:asciiTheme="minorHAnsi" w:hAnsiTheme="minorHAnsi"/>
          <w:sz w:val="24"/>
          <w:szCs w:val="24"/>
          <w:shd w:val="clear" w:color="auto" w:fill="FFFFFF"/>
          <w:lang w:val="en-US"/>
        </w:rPr>
        <w:t>As the body of evidence grows, it is becoming clear that the management of not only late-onset CMV disease but, also, indirect effects of CMV requires sufficient reconstitution of the CMV-specific immune response after transplantation. Early reconstitution of CMV-specific CD4</w:t>
      </w:r>
      <w:r w:rsidRPr="002B39C3">
        <w:rPr>
          <w:rFonts w:asciiTheme="minorHAnsi" w:hAnsiTheme="minorHAnsi"/>
          <w:sz w:val="24"/>
          <w:szCs w:val="24"/>
          <w:shd w:val="clear" w:color="auto" w:fill="FFFFFF"/>
          <w:vertAlign w:val="superscript"/>
          <w:lang w:val="en-US"/>
        </w:rPr>
        <w:t>+</w:t>
      </w:r>
      <w:r w:rsidRPr="002B39C3">
        <w:rPr>
          <w:rFonts w:asciiTheme="minorHAnsi" w:hAnsiTheme="minorHAnsi"/>
          <w:sz w:val="24"/>
          <w:szCs w:val="24"/>
          <w:shd w:val="clear" w:color="auto" w:fill="FFFFFF"/>
          <w:lang w:val="en-US"/>
        </w:rPr>
        <w:t xml:space="preserve"> and/or CD8</w:t>
      </w:r>
      <w:r w:rsidRPr="002B39C3">
        <w:rPr>
          <w:rFonts w:asciiTheme="minorHAnsi" w:hAnsiTheme="minorHAnsi"/>
          <w:sz w:val="24"/>
          <w:szCs w:val="24"/>
          <w:shd w:val="clear" w:color="auto" w:fill="FFFFFF"/>
          <w:vertAlign w:val="superscript"/>
          <w:lang w:val="en-US"/>
        </w:rPr>
        <w:t>+</w:t>
      </w:r>
      <w:r w:rsidRPr="002B39C3">
        <w:rPr>
          <w:rFonts w:asciiTheme="minorHAnsi" w:hAnsiTheme="minorHAnsi"/>
          <w:sz w:val="24"/>
          <w:szCs w:val="24"/>
          <w:shd w:val="clear" w:color="auto" w:fill="FFFFFF"/>
          <w:lang w:val="en-US"/>
        </w:rPr>
        <w:t xml:space="preserve"> T cells is associated with a lower risk of high-level viral replication and CMV disease.</w:t>
      </w:r>
      <w:r w:rsidRPr="002B39C3">
        <w:rPr>
          <w:rFonts w:asciiTheme="minorHAnsi" w:hAnsiTheme="minorHAnsi"/>
          <w:sz w:val="24"/>
          <w:szCs w:val="24"/>
          <w:vertAlign w:val="superscript"/>
          <w:lang w:val="en-US"/>
        </w:rPr>
        <w:t>20,21</w:t>
      </w:r>
      <w:r w:rsidRPr="002B39C3">
        <w:rPr>
          <w:rFonts w:asciiTheme="minorHAnsi" w:hAnsiTheme="minorHAnsi"/>
          <w:sz w:val="24"/>
          <w:szCs w:val="24"/>
          <w:lang w:val="en-US"/>
        </w:rPr>
        <w:t xml:space="preserve"> </w:t>
      </w:r>
      <w:r w:rsidRPr="002B39C3">
        <w:rPr>
          <w:rFonts w:asciiTheme="minorHAnsi" w:hAnsiTheme="minorHAnsi"/>
          <w:sz w:val="24"/>
          <w:szCs w:val="24"/>
          <w:shd w:val="clear" w:color="auto" w:fill="FFFFFF"/>
          <w:lang w:val="en-US"/>
        </w:rPr>
        <w:t>A finding of particular importance for clinical practice is the association of an adequate CMV-specific T-cell response with a decrease in indirect effects of CMV. Patients with detectable CMV-specific CD4</w:t>
      </w:r>
      <w:r w:rsidRPr="002B39C3">
        <w:rPr>
          <w:rFonts w:asciiTheme="minorHAnsi" w:hAnsiTheme="minorHAnsi"/>
          <w:sz w:val="24"/>
          <w:szCs w:val="24"/>
          <w:shd w:val="clear" w:color="auto" w:fill="FFFFFF"/>
          <w:vertAlign w:val="superscript"/>
          <w:lang w:val="en-US"/>
        </w:rPr>
        <w:t>+</w:t>
      </w:r>
      <w:r w:rsidRPr="002B39C3">
        <w:rPr>
          <w:rFonts w:asciiTheme="minorHAnsi" w:hAnsiTheme="minorHAnsi"/>
          <w:sz w:val="24"/>
          <w:szCs w:val="24"/>
          <w:shd w:val="clear" w:color="auto" w:fill="FFFFFF"/>
          <w:lang w:val="en-US"/>
        </w:rPr>
        <w:t xml:space="preserve"> T cell counts within the first post-transplant month have been shown to have lower rates of cardiac allograft rejection and vascular disease.</w:t>
      </w:r>
      <w:r w:rsidRPr="002B39C3">
        <w:rPr>
          <w:rFonts w:asciiTheme="minorHAnsi" w:hAnsiTheme="minorHAnsi"/>
          <w:sz w:val="24"/>
          <w:szCs w:val="24"/>
          <w:vertAlign w:val="superscript"/>
          <w:lang w:val="en-US"/>
        </w:rPr>
        <w:t>22</w:t>
      </w:r>
      <w:r w:rsidRPr="002B39C3">
        <w:rPr>
          <w:rFonts w:asciiTheme="minorHAnsi" w:hAnsiTheme="minorHAnsi"/>
          <w:sz w:val="24"/>
          <w:szCs w:val="24"/>
          <w:shd w:val="clear" w:color="auto" w:fill="FFFFFF"/>
          <w:lang w:val="en-US"/>
        </w:rPr>
        <w:t xml:space="preserve"> Similarly kidney transplant recipients with high CMV-immediate early-1 (IE-1)-specific memory T cell counts showed reduced alloreactivity and improved renal function.</w:t>
      </w:r>
      <w:r w:rsidRPr="002B39C3">
        <w:rPr>
          <w:rFonts w:asciiTheme="minorHAnsi" w:hAnsiTheme="minorHAnsi"/>
          <w:sz w:val="24"/>
          <w:szCs w:val="24"/>
          <w:vertAlign w:val="superscript"/>
          <w:lang w:val="en-US"/>
        </w:rPr>
        <w:t>23</w:t>
      </w:r>
    </w:p>
    <w:p w:rsidR="00FC0CB8" w:rsidRPr="002B39C3" w:rsidRDefault="00FC0CB8" w:rsidP="00E053A4">
      <w:pPr>
        <w:spacing w:line="360" w:lineRule="auto"/>
        <w:jc w:val="both"/>
        <w:rPr>
          <w:rFonts w:asciiTheme="minorHAnsi" w:hAnsiTheme="minorHAnsi"/>
          <w:sz w:val="24"/>
          <w:szCs w:val="24"/>
          <w:vertAlign w:val="superscript"/>
          <w:lang w:val="en-US"/>
        </w:rPr>
      </w:pPr>
      <w:r w:rsidRPr="002B39C3">
        <w:rPr>
          <w:rFonts w:asciiTheme="minorHAnsi" w:hAnsiTheme="minorHAnsi"/>
          <w:sz w:val="24"/>
          <w:szCs w:val="24"/>
          <w:shd w:val="clear" w:color="auto" w:fill="FFFFFF"/>
          <w:lang w:val="en-US"/>
        </w:rPr>
        <w:t>The method of preventing CMV infection is closely related to recovery of the CMV-specific T-cell response. The response induction requires an episode of CMV viremia absent when using CMV prophylaxis, particularly with highly effective agents such as valganciclovir.</w:t>
      </w:r>
      <w:r w:rsidRPr="002B39C3">
        <w:rPr>
          <w:rFonts w:asciiTheme="minorHAnsi" w:hAnsiTheme="minorHAnsi"/>
          <w:sz w:val="24"/>
          <w:szCs w:val="24"/>
          <w:vertAlign w:val="superscript"/>
          <w:lang w:val="en-US"/>
        </w:rPr>
        <w:t>24</w:t>
      </w:r>
      <w:r w:rsidRPr="002B39C3">
        <w:rPr>
          <w:rFonts w:asciiTheme="minorHAnsi" w:hAnsiTheme="minorHAnsi"/>
          <w:sz w:val="24"/>
          <w:szCs w:val="24"/>
          <w:shd w:val="clear" w:color="auto" w:fill="FFFFFF"/>
          <w:lang w:val="en-US"/>
        </w:rPr>
        <w:t xml:space="preserve"> Depending on the method of determination employed, a CMV-specific immune response was either undetectable during prophylaxis in D+/R- patients or it could be documented in only a small proportion (&lt;30%) of patients.</w:t>
      </w:r>
      <w:r w:rsidRPr="002B39C3">
        <w:rPr>
          <w:rFonts w:asciiTheme="minorHAnsi" w:hAnsiTheme="minorHAnsi"/>
          <w:sz w:val="24"/>
          <w:szCs w:val="24"/>
          <w:vertAlign w:val="superscript"/>
          <w:lang w:val="en-US"/>
        </w:rPr>
        <w:t>24,25</w:t>
      </w:r>
      <w:r w:rsidRPr="002B39C3">
        <w:rPr>
          <w:rFonts w:asciiTheme="minorHAnsi" w:hAnsiTheme="minorHAnsi"/>
          <w:sz w:val="24"/>
          <w:szCs w:val="24"/>
          <w:shd w:val="clear" w:color="auto" w:fill="FFFFFF"/>
          <w:lang w:val="en-US"/>
        </w:rPr>
        <w:t xml:space="preserve"> A marked decrease in the level of CMV-specific immune response due to immunosuppressive therapy is also evident in the first post-transplant months in the R+ population.</w:t>
      </w:r>
      <w:r w:rsidRPr="002B39C3">
        <w:rPr>
          <w:rFonts w:asciiTheme="minorHAnsi" w:hAnsiTheme="minorHAnsi"/>
          <w:sz w:val="24"/>
          <w:szCs w:val="24"/>
          <w:vertAlign w:val="superscript"/>
          <w:lang w:val="en-US"/>
        </w:rPr>
        <w:t>24</w:t>
      </w:r>
      <w:r w:rsidRPr="002B39C3">
        <w:rPr>
          <w:rFonts w:asciiTheme="minorHAnsi" w:hAnsiTheme="minorHAnsi"/>
          <w:sz w:val="24"/>
          <w:szCs w:val="24"/>
          <w:shd w:val="clear" w:color="auto" w:fill="FFFFFF"/>
          <w:lang w:val="en-US"/>
        </w:rPr>
        <w:t xml:space="preserve"> This is in contrast with the course of CMV-specific immune reconstitution in patients receiving pre-emptive therapy allowing for episodes of controlled CMV viremia. Most R+ patients tend to recover their CMV-specific T-cell immunity after 2 months post-transplant.</w:t>
      </w:r>
      <w:r w:rsidRPr="002B39C3">
        <w:rPr>
          <w:rFonts w:asciiTheme="minorHAnsi" w:hAnsiTheme="minorHAnsi"/>
          <w:sz w:val="24"/>
          <w:szCs w:val="24"/>
          <w:vertAlign w:val="superscript"/>
          <w:lang w:val="en-US"/>
        </w:rPr>
        <w:t>24</w:t>
      </w:r>
      <w:r w:rsidR="009A2AD6">
        <w:rPr>
          <w:rFonts w:asciiTheme="minorHAnsi" w:hAnsiTheme="minorHAnsi"/>
          <w:sz w:val="24"/>
          <w:szCs w:val="24"/>
          <w:shd w:val="clear" w:color="auto" w:fill="FFFFFF"/>
          <w:lang w:val="en-US"/>
        </w:rPr>
        <w:t xml:space="preserve"> </w:t>
      </w:r>
      <w:proofErr w:type="gramStart"/>
      <w:r w:rsidR="009A2AD6">
        <w:rPr>
          <w:rFonts w:asciiTheme="minorHAnsi" w:hAnsiTheme="minorHAnsi"/>
          <w:sz w:val="24"/>
          <w:szCs w:val="24"/>
          <w:shd w:val="clear" w:color="auto" w:fill="FFFFFF"/>
          <w:lang w:val="en-US"/>
        </w:rPr>
        <w:t>M</w:t>
      </w:r>
      <w:r w:rsidRPr="002B39C3">
        <w:rPr>
          <w:rFonts w:asciiTheme="minorHAnsi" w:hAnsiTheme="minorHAnsi"/>
          <w:sz w:val="24"/>
          <w:szCs w:val="24"/>
          <w:shd w:val="clear" w:color="auto" w:fill="FFFFFF"/>
          <w:lang w:val="en-US"/>
        </w:rPr>
        <w:t>ost</w:t>
      </w:r>
      <w:proofErr w:type="gramEnd"/>
      <w:r w:rsidRPr="002B39C3">
        <w:rPr>
          <w:rFonts w:asciiTheme="minorHAnsi" w:hAnsiTheme="minorHAnsi"/>
          <w:sz w:val="24"/>
          <w:szCs w:val="24"/>
          <w:shd w:val="clear" w:color="auto" w:fill="FFFFFF"/>
          <w:lang w:val="en-US"/>
        </w:rPr>
        <w:t xml:space="preserve"> important s</w:t>
      </w:r>
      <w:r w:rsidR="009A2AD6">
        <w:rPr>
          <w:rFonts w:asciiTheme="minorHAnsi" w:hAnsiTheme="minorHAnsi"/>
          <w:sz w:val="24"/>
          <w:szCs w:val="24"/>
          <w:shd w:val="clear" w:color="auto" w:fill="FFFFFF"/>
          <w:lang w:val="en-US"/>
        </w:rPr>
        <w:t>tudy was recently published in</w:t>
      </w:r>
      <w:r w:rsidRPr="002B39C3">
        <w:rPr>
          <w:rFonts w:asciiTheme="minorHAnsi" w:hAnsiTheme="minorHAnsi"/>
          <w:sz w:val="24"/>
          <w:szCs w:val="24"/>
          <w:shd w:val="clear" w:color="auto" w:fill="FFFFFF"/>
          <w:lang w:val="en-US"/>
        </w:rPr>
        <w:t xml:space="preserve"> D+/R- patients managed by pre-emptive therapy. All of these patients developed a CMV-specific T-cell response (within a median of 12 </w:t>
      </w:r>
      <w:r w:rsidRPr="002B39C3">
        <w:rPr>
          <w:rFonts w:asciiTheme="minorHAnsi" w:hAnsiTheme="minorHAnsi"/>
          <w:sz w:val="24"/>
          <w:szCs w:val="24"/>
          <w:lang w:val="en-US"/>
        </w:rPr>
        <w:t xml:space="preserve">weeks) </w:t>
      </w:r>
      <w:r w:rsidRPr="002B39C3">
        <w:rPr>
          <w:rFonts w:asciiTheme="minorHAnsi" w:hAnsiTheme="minorHAnsi"/>
          <w:bCs/>
          <w:sz w:val="24"/>
          <w:szCs w:val="24"/>
          <w:lang w:val="en-US"/>
        </w:rPr>
        <w:t>secondary to</w:t>
      </w:r>
      <w:r w:rsidRPr="002B39C3">
        <w:rPr>
          <w:rFonts w:asciiTheme="minorHAnsi" w:hAnsiTheme="minorHAnsi"/>
          <w:sz w:val="24"/>
          <w:szCs w:val="24"/>
          <w:lang w:val="en-US"/>
        </w:rPr>
        <w:t xml:space="preserve"> asymptomatic</w:t>
      </w:r>
      <w:r w:rsidRPr="002B39C3">
        <w:rPr>
          <w:rFonts w:asciiTheme="minorHAnsi" w:hAnsiTheme="minorHAnsi"/>
          <w:sz w:val="24"/>
          <w:szCs w:val="24"/>
          <w:shd w:val="clear" w:color="auto" w:fill="FFFFFF"/>
          <w:lang w:val="en-US"/>
        </w:rPr>
        <w:t xml:space="preserve"> episodes of CMV viremia.</w:t>
      </w:r>
      <w:r w:rsidRPr="002B39C3">
        <w:rPr>
          <w:rFonts w:asciiTheme="minorHAnsi" w:hAnsiTheme="minorHAnsi"/>
          <w:sz w:val="24"/>
          <w:szCs w:val="24"/>
          <w:vertAlign w:val="superscript"/>
          <w:lang w:val="en-US"/>
        </w:rPr>
        <w:t xml:space="preserve">26 </w:t>
      </w:r>
    </w:p>
    <w:p w:rsidR="00FC0CB8" w:rsidRPr="002B39C3" w:rsidRDefault="00FC0CB8" w:rsidP="00E053A4">
      <w:pPr>
        <w:spacing w:line="360" w:lineRule="auto"/>
        <w:jc w:val="both"/>
        <w:rPr>
          <w:rFonts w:asciiTheme="minorHAnsi" w:hAnsiTheme="minorHAnsi"/>
          <w:sz w:val="24"/>
          <w:szCs w:val="24"/>
          <w:lang w:val="en-US"/>
        </w:rPr>
      </w:pPr>
      <w:r w:rsidRPr="002B39C3">
        <w:rPr>
          <w:rFonts w:asciiTheme="minorHAnsi" w:hAnsiTheme="minorHAnsi"/>
          <w:sz w:val="24"/>
          <w:szCs w:val="24"/>
          <w:shd w:val="clear" w:color="auto" w:fill="FFFFFF"/>
          <w:lang w:val="en-US"/>
        </w:rPr>
        <w:t xml:space="preserve">When discussing the effect of antiviral prophylaxis on the development of CMV-specific immune reconstitution but, also, reduction of the indirect effects of CMV, mention should also be made of data suggesting an immunosuppressive effect of some antiviral agents. </w:t>
      </w:r>
      <w:r w:rsidRPr="002B39C3">
        <w:rPr>
          <w:rFonts w:asciiTheme="minorHAnsi" w:hAnsiTheme="minorHAnsi"/>
          <w:sz w:val="24"/>
          <w:szCs w:val="24"/>
          <w:shd w:val="clear" w:color="auto" w:fill="FFFFFF"/>
          <w:lang w:val="en-US"/>
        </w:rPr>
        <w:lastRenderedPageBreak/>
        <w:t>Most recent data have shown that, in kidney tra</w:t>
      </w:r>
      <w:r w:rsidRPr="002B39C3">
        <w:rPr>
          <w:rFonts w:asciiTheme="minorHAnsi" w:hAnsiTheme="minorHAnsi"/>
          <w:sz w:val="24"/>
          <w:szCs w:val="24"/>
          <w:lang w:val="en-US"/>
        </w:rPr>
        <w:t xml:space="preserve">nsplant recipients with standard </w:t>
      </w:r>
      <w:r w:rsidRPr="002B39C3">
        <w:rPr>
          <w:rFonts w:asciiTheme="minorHAnsi" w:hAnsiTheme="minorHAnsi"/>
          <w:sz w:val="24"/>
          <w:szCs w:val="24"/>
          <w:shd w:val="clear" w:color="auto" w:fill="FFFFFF"/>
          <w:lang w:val="en-US"/>
        </w:rPr>
        <w:t>calcineurin inhibitor-based immunosuppression, valganciclovir therapy is associated with suppressed lymphocyte proliferation and a decrease in the activated T-cell count.</w:t>
      </w:r>
      <w:r w:rsidRPr="002B39C3">
        <w:rPr>
          <w:rFonts w:asciiTheme="minorHAnsi" w:hAnsiTheme="minorHAnsi"/>
          <w:sz w:val="24"/>
          <w:szCs w:val="24"/>
          <w:vertAlign w:val="superscript"/>
          <w:lang w:val="en-US"/>
        </w:rPr>
        <w:t>27</w:t>
      </w:r>
      <w:r w:rsidRPr="002B39C3">
        <w:rPr>
          <w:rFonts w:asciiTheme="minorHAnsi" w:hAnsiTheme="minorHAnsi"/>
          <w:sz w:val="24"/>
          <w:szCs w:val="24"/>
          <w:shd w:val="clear" w:color="auto" w:fill="FFFFFF"/>
          <w:lang w:val="en-US"/>
        </w:rPr>
        <w:t xml:space="preserve"> </w:t>
      </w:r>
      <w:proofErr w:type="gramStart"/>
      <w:r w:rsidRPr="002B39C3">
        <w:rPr>
          <w:rFonts w:asciiTheme="minorHAnsi" w:hAnsiTheme="minorHAnsi"/>
          <w:sz w:val="24"/>
          <w:szCs w:val="24"/>
          <w:shd w:val="clear" w:color="auto" w:fill="FFFFFF"/>
          <w:lang w:val="en-US"/>
        </w:rPr>
        <w:t>The</w:t>
      </w:r>
      <w:proofErr w:type="gramEnd"/>
      <w:r w:rsidRPr="002B39C3">
        <w:rPr>
          <w:rFonts w:asciiTheme="minorHAnsi" w:hAnsiTheme="minorHAnsi"/>
          <w:sz w:val="24"/>
          <w:szCs w:val="24"/>
          <w:shd w:val="clear" w:color="auto" w:fill="FFFFFF"/>
          <w:lang w:val="en-US"/>
        </w:rPr>
        <w:t xml:space="preserve"> same study assessed the effect of valacyclovir, which seemed to be negligible. However, analyses in valacyclovir-treated patients were largely limited by the frequent administration of antithymocyte glo</w:t>
      </w:r>
      <w:r w:rsidRPr="002B39C3">
        <w:rPr>
          <w:rFonts w:asciiTheme="minorHAnsi" w:hAnsiTheme="minorHAnsi"/>
          <w:sz w:val="24"/>
          <w:szCs w:val="24"/>
          <w:lang w:val="en-US"/>
        </w:rPr>
        <w:t>bu</w:t>
      </w:r>
      <w:r w:rsidRPr="002B39C3">
        <w:rPr>
          <w:rFonts w:asciiTheme="minorHAnsi" w:hAnsiTheme="minorHAnsi"/>
          <w:sz w:val="24"/>
          <w:szCs w:val="24"/>
          <w:shd w:val="clear" w:color="auto" w:fill="FFFFFF"/>
          <w:lang w:val="en-US"/>
        </w:rPr>
        <w:t>lin. The main mechanism whereby ganciclovir affects lymphocyte function is impaired DNA synthesis. The reduction of lymphocyte proliferation stems directly from the antiviral action of ganciclovir, a nucleoside analogue of guanosine, which competitively inhibits the incorporation of deoxyguanosin-triphosphate by viral DNA polymerase. However, the selectivity of ganciclovir to DNA polymerase is limited. At present, it is not clear whether the above potential immunosuppressive action of ganciclovir is clinically relevant. In theory, it may be beneficial as it may help to suppress some indirect effects of CMV such as, in particular, allograft rejection. On the other hand, it may contribute to delayed development of CMV-specific T-cell response with adverse sequels.</w:t>
      </w:r>
    </w:p>
    <w:p w:rsidR="00FC0CB8" w:rsidRPr="002B39C3" w:rsidRDefault="00FC0CB8" w:rsidP="00E053A4">
      <w:pPr>
        <w:spacing w:line="360" w:lineRule="auto"/>
        <w:jc w:val="both"/>
        <w:rPr>
          <w:rFonts w:asciiTheme="minorHAnsi" w:hAnsiTheme="minorHAnsi"/>
          <w:sz w:val="24"/>
          <w:szCs w:val="24"/>
          <w:shd w:val="clear" w:color="auto" w:fill="FFFFFF"/>
          <w:lang w:val="en-US"/>
        </w:rPr>
      </w:pPr>
      <w:r w:rsidRPr="002B39C3">
        <w:rPr>
          <w:rFonts w:asciiTheme="minorHAnsi" w:hAnsiTheme="minorHAnsi"/>
          <w:sz w:val="24"/>
          <w:szCs w:val="24"/>
          <w:lang w:val="en-US"/>
        </w:rPr>
        <w:t>Pre-emptive therapy was directly compared to prophylaxis in renal transplant recipients in four randomized trials</w:t>
      </w:r>
      <w:r w:rsidRPr="002B39C3">
        <w:rPr>
          <w:rFonts w:asciiTheme="minorHAnsi" w:hAnsiTheme="minorHAnsi"/>
          <w:sz w:val="24"/>
          <w:szCs w:val="24"/>
          <w:vertAlign w:val="superscript"/>
          <w:lang w:val="en-US"/>
        </w:rPr>
        <w:t>11,12,14,15</w:t>
      </w:r>
      <w:r w:rsidRPr="002B39C3">
        <w:rPr>
          <w:rFonts w:asciiTheme="minorHAnsi" w:hAnsiTheme="minorHAnsi"/>
          <w:sz w:val="24"/>
          <w:szCs w:val="24"/>
          <w:shd w:val="clear" w:color="auto" w:fill="FFFFFF"/>
          <w:lang w:val="en-US"/>
        </w:rPr>
        <w:t xml:space="preserve"> </w:t>
      </w:r>
      <w:r w:rsidRPr="002B39C3">
        <w:rPr>
          <w:rFonts w:asciiTheme="minorHAnsi" w:hAnsiTheme="minorHAnsi"/>
          <w:sz w:val="24"/>
          <w:szCs w:val="24"/>
          <w:lang w:val="en-US"/>
        </w:rPr>
        <w:t>with long-term results available in three studies.</w:t>
      </w:r>
      <w:r w:rsidRPr="002B39C3">
        <w:rPr>
          <w:rFonts w:asciiTheme="minorHAnsi" w:hAnsiTheme="minorHAnsi"/>
          <w:sz w:val="24"/>
          <w:szCs w:val="24"/>
          <w:vertAlign w:val="superscript"/>
          <w:lang w:val="en-US"/>
        </w:rPr>
        <w:t>14,17,28</w:t>
      </w:r>
      <w:r w:rsidRPr="002B39C3">
        <w:rPr>
          <w:rFonts w:asciiTheme="minorHAnsi" w:hAnsiTheme="minorHAnsi"/>
          <w:sz w:val="24"/>
          <w:szCs w:val="24"/>
          <w:shd w:val="clear" w:color="auto" w:fill="FFFFFF"/>
          <w:lang w:val="en-US"/>
        </w:rPr>
        <w:t xml:space="preserve"> </w:t>
      </w:r>
      <w:r w:rsidRPr="002B39C3">
        <w:rPr>
          <w:rFonts w:asciiTheme="minorHAnsi" w:hAnsiTheme="minorHAnsi"/>
          <w:sz w:val="24"/>
          <w:szCs w:val="24"/>
          <w:lang w:val="en-US"/>
        </w:rPr>
        <w:t xml:space="preserve"> The results were somewhat contradictory and notably affected by the variation in frequency of CMV monitoring in pre-emptive therapy groups, and perhaps by the fact that three different antiviral drugs were used for prophylaxis. The studies using weekly monitoring for 4 months post-transplantation with high compliance rates showed similar reductions of CMV disease</w:t>
      </w:r>
      <w:proofErr w:type="gramStart"/>
      <w:r w:rsidRPr="002B39C3">
        <w:rPr>
          <w:rFonts w:asciiTheme="minorHAnsi" w:hAnsiTheme="minorHAnsi"/>
          <w:sz w:val="24"/>
          <w:szCs w:val="24"/>
          <w:lang w:val="en-US"/>
        </w:rPr>
        <w:t>,</w:t>
      </w:r>
      <w:r w:rsidRPr="002B39C3">
        <w:rPr>
          <w:rFonts w:asciiTheme="minorHAnsi" w:hAnsiTheme="minorHAnsi"/>
          <w:sz w:val="24"/>
          <w:szCs w:val="24"/>
          <w:vertAlign w:val="superscript"/>
          <w:lang w:val="en-US"/>
        </w:rPr>
        <w:t>11,12</w:t>
      </w:r>
      <w:proofErr w:type="gramEnd"/>
      <w:r w:rsidRPr="002B39C3">
        <w:rPr>
          <w:rFonts w:asciiTheme="minorHAnsi" w:hAnsiTheme="minorHAnsi"/>
          <w:sz w:val="24"/>
          <w:szCs w:val="24"/>
          <w:lang w:val="en-US"/>
        </w:rPr>
        <w:t xml:space="preserve"> intragraft CMV infection</w:t>
      </w:r>
      <w:r w:rsidRPr="002B39C3">
        <w:rPr>
          <w:rFonts w:asciiTheme="minorHAnsi" w:hAnsiTheme="minorHAnsi"/>
          <w:sz w:val="24"/>
          <w:szCs w:val="24"/>
          <w:vertAlign w:val="superscript"/>
          <w:lang w:val="en-US"/>
        </w:rPr>
        <w:t>29</w:t>
      </w:r>
      <w:r w:rsidRPr="002B39C3">
        <w:rPr>
          <w:rFonts w:asciiTheme="minorHAnsi" w:hAnsiTheme="minorHAnsi"/>
          <w:sz w:val="24"/>
          <w:szCs w:val="24"/>
          <w:lang w:val="en-US"/>
        </w:rPr>
        <w:t xml:space="preserve"> and comparable</w:t>
      </w:r>
      <w:r w:rsidRPr="002B39C3">
        <w:rPr>
          <w:rFonts w:asciiTheme="minorHAnsi" w:hAnsiTheme="minorHAnsi"/>
          <w:sz w:val="24"/>
          <w:szCs w:val="24"/>
          <w:vertAlign w:val="superscript"/>
          <w:lang w:val="en-US"/>
        </w:rPr>
        <w:t>28</w:t>
      </w:r>
      <w:r w:rsidRPr="002B39C3">
        <w:rPr>
          <w:rFonts w:asciiTheme="minorHAnsi" w:hAnsiTheme="minorHAnsi"/>
          <w:sz w:val="24"/>
          <w:szCs w:val="24"/>
          <w:lang w:val="en-US"/>
        </w:rPr>
        <w:t xml:space="preserve"> or better</w:t>
      </w:r>
      <w:r w:rsidRPr="002B39C3">
        <w:rPr>
          <w:rFonts w:asciiTheme="minorHAnsi" w:hAnsiTheme="minorHAnsi"/>
          <w:sz w:val="24"/>
          <w:szCs w:val="24"/>
          <w:vertAlign w:val="superscript"/>
          <w:lang w:val="en-US"/>
        </w:rPr>
        <w:t>17</w:t>
      </w:r>
      <w:r w:rsidRPr="002B39C3">
        <w:rPr>
          <w:rFonts w:asciiTheme="minorHAnsi" w:hAnsiTheme="minorHAnsi"/>
          <w:sz w:val="24"/>
          <w:szCs w:val="24"/>
          <w:lang w:val="en-US"/>
        </w:rPr>
        <w:t xml:space="preserve"> long-term graft survival in patients managed by pre-emptive therapy approach. In our recent study, pre-emptive therapy improved 4-year graft survival (92% versus 74%; P=0.049) as a result of worse outcomes in patients with late-onset CMV viremia.</w:t>
      </w:r>
      <w:r w:rsidRPr="002B39C3">
        <w:rPr>
          <w:rFonts w:asciiTheme="minorHAnsi" w:hAnsiTheme="minorHAnsi"/>
          <w:sz w:val="24"/>
          <w:szCs w:val="24"/>
          <w:vertAlign w:val="superscript"/>
          <w:lang w:val="en-US"/>
        </w:rPr>
        <w:t>17</w:t>
      </w:r>
      <w:r w:rsidRPr="002B39C3">
        <w:rPr>
          <w:rFonts w:asciiTheme="minorHAnsi" w:hAnsiTheme="minorHAnsi"/>
          <w:i/>
          <w:sz w:val="24"/>
          <w:szCs w:val="24"/>
          <w:lang w:val="en-US"/>
        </w:rPr>
        <w:t xml:space="preserve"> </w:t>
      </w:r>
      <w:r w:rsidRPr="002B39C3">
        <w:rPr>
          <w:rFonts w:asciiTheme="minorHAnsi" w:hAnsiTheme="minorHAnsi"/>
          <w:sz w:val="24"/>
          <w:szCs w:val="24"/>
          <w:lang w:val="en-US"/>
        </w:rPr>
        <w:t>In contrast, with less frequent monitoring, pre-emptive therapy failed to prevent CMV disease</w:t>
      </w:r>
      <w:r w:rsidRPr="002B39C3">
        <w:rPr>
          <w:rFonts w:asciiTheme="minorHAnsi" w:hAnsiTheme="minorHAnsi"/>
          <w:sz w:val="24"/>
          <w:szCs w:val="24"/>
          <w:vertAlign w:val="superscript"/>
          <w:lang w:val="en-US"/>
        </w:rPr>
        <w:t>14</w:t>
      </w:r>
      <w:proofErr w:type="gramStart"/>
      <w:r w:rsidRPr="002B39C3">
        <w:rPr>
          <w:rFonts w:asciiTheme="minorHAnsi" w:hAnsiTheme="minorHAnsi"/>
          <w:sz w:val="24"/>
          <w:szCs w:val="24"/>
          <w:vertAlign w:val="superscript"/>
          <w:lang w:val="en-US"/>
        </w:rPr>
        <w:t>,15</w:t>
      </w:r>
      <w:proofErr w:type="gramEnd"/>
      <w:r w:rsidRPr="002B39C3">
        <w:rPr>
          <w:rFonts w:asciiTheme="minorHAnsi" w:hAnsiTheme="minorHAnsi"/>
          <w:sz w:val="24"/>
          <w:szCs w:val="24"/>
          <w:lang w:val="en-US"/>
        </w:rPr>
        <w:t xml:space="preserve"> and long-term graft survival was superior with prophylaxis.</w:t>
      </w:r>
      <w:r w:rsidRPr="002B39C3">
        <w:rPr>
          <w:rFonts w:asciiTheme="minorHAnsi" w:hAnsiTheme="minorHAnsi"/>
          <w:sz w:val="24"/>
          <w:szCs w:val="24"/>
          <w:vertAlign w:val="superscript"/>
          <w:lang w:val="en-US"/>
        </w:rPr>
        <w:t>14</w:t>
      </w:r>
      <w:r w:rsidRPr="002B39C3">
        <w:rPr>
          <w:rFonts w:asciiTheme="minorHAnsi" w:hAnsiTheme="minorHAnsi"/>
          <w:sz w:val="24"/>
          <w:szCs w:val="24"/>
          <w:shd w:val="clear" w:color="auto" w:fill="FFFFFF"/>
          <w:lang w:val="en-US"/>
        </w:rPr>
        <w:t xml:space="preserve"> Except for </w:t>
      </w:r>
      <w:r w:rsidRPr="002B39C3">
        <w:rPr>
          <w:rFonts w:asciiTheme="minorHAnsi" w:hAnsiTheme="minorHAnsi"/>
          <w:sz w:val="24"/>
          <w:szCs w:val="24"/>
          <w:lang w:val="en-US"/>
        </w:rPr>
        <w:t xml:space="preserve">the overall low (up to ~1/3) number of D+/R- patients in any study, the data suffer from other limitations. Mainly, there is no detailed comparison of indirect effects of valganciclovir prophylaxis compared to valganciclovir-based pre-emptive therapy in the long-term. </w:t>
      </w:r>
    </w:p>
    <w:p w:rsidR="00FC0CB8" w:rsidRPr="002B39C3" w:rsidRDefault="00FC0CB8" w:rsidP="00E053A4">
      <w:pPr>
        <w:spacing w:line="360" w:lineRule="auto"/>
        <w:jc w:val="both"/>
        <w:rPr>
          <w:rFonts w:asciiTheme="minorHAnsi" w:hAnsiTheme="minorHAnsi" w:cs="Calibri"/>
          <w:sz w:val="24"/>
          <w:szCs w:val="24"/>
          <w:lang w:val="en-US"/>
        </w:rPr>
      </w:pPr>
      <w:r w:rsidRPr="002B39C3">
        <w:rPr>
          <w:rFonts w:asciiTheme="minorHAnsi" w:hAnsiTheme="minorHAnsi" w:cs="Calibri"/>
          <w:sz w:val="24"/>
          <w:szCs w:val="24"/>
          <w:lang w:val="en-US"/>
        </w:rPr>
        <w:t xml:space="preserve">While valganciclovir may have additive immunosuppressive properties universal prophylaxis compared to pre-emptive therapy may result in less early acute rejection episodes considering even better CMV suppression compared to previously used high-dose </w:t>
      </w:r>
      <w:r w:rsidRPr="002B39C3">
        <w:rPr>
          <w:rFonts w:asciiTheme="minorHAnsi" w:hAnsiTheme="minorHAnsi" w:cs="Calibri"/>
          <w:sz w:val="24"/>
          <w:szCs w:val="24"/>
          <w:lang w:val="en-US"/>
        </w:rPr>
        <w:lastRenderedPageBreak/>
        <w:t>valacyclovir. On the other hand the reconstitution of CMV-specific T-cell immunity may be substantially delayed with valganciclovir prophylaxis raising the problems with late-onset CMV viremia with worse long-term graft outcomes. Moreover, there is no direct comparison of CMV immunity development based on CMV preventive regimen and, more importantly, a comparison of cellular and humoral alloantigen responses. To answer these questions we decided to perform randomized study comparing valganciclovir prophylaxis with preemptive valganciclovir therapy based on CMV monitoring by real-time quantitative PCR for CMV DNA.</w:t>
      </w:r>
    </w:p>
    <w:p w:rsidR="00FC0CB8" w:rsidRPr="002B39C3" w:rsidRDefault="00FC0CB8" w:rsidP="00E053A4">
      <w:pPr>
        <w:spacing w:line="360" w:lineRule="auto"/>
        <w:jc w:val="both"/>
        <w:rPr>
          <w:rFonts w:asciiTheme="minorHAnsi" w:hAnsiTheme="minorHAnsi"/>
          <w:sz w:val="24"/>
          <w:lang w:val="en-US"/>
        </w:rPr>
      </w:pPr>
    </w:p>
    <w:p w:rsidR="00FC0CB8" w:rsidRDefault="00FC0CB8" w:rsidP="001150C5">
      <w:pPr>
        <w:spacing w:line="360" w:lineRule="auto"/>
        <w:jc w:val="both"/>
        <w:rPr>
          <w:rFonts w:ascii="Calibri" w:hAnsi="Calibri" w:cs="Calibri"/>
          <w:b/>
          <w:i/>
          <w:lang w:val="en-US"/>
        </w:rPr>
      </w:pPr>
      <w:r w:rsidRPr="00F546C0">
        <w:rPr>
          <w:rFonts w:ascii="Calibri" w:hAnsi="Calibri" w:cs="Calibri"/>
          <w:b/>
          <w:i/>
          <w:lang w:val="en-US"/>
        </w:rPr>
        <w:t>References</w:t>
      </w:r>
    </w:p>
    <w:p w:rsidR="00FC0CB8" w:rsidRDefault="00FC0CB8" w:rsidP="000240E3">
      <w:pPr>
        <w:ind w:left="720" w:hanging="720"/>
        <w:jc w:val="both"/>
        <w:rPr>
          <w:szCs w:val="24"/>
          <w:lang w:val="en-US"/>
        </w:rPr>
      </w:pPr>
      <w:r w:rsidRPr="00213050">
        <w:rPr>
          <w:szCs w:val="24"/>
          <w:lang w:val="en-US"/>
        </w:rPr>
        <w:t xml:space="preserve">1. Fishman JA: Infection in solid-organ transplant recipients. </w:t>
      </w:r>
      <w:r w:rsidRPr="00213050">
        <w:rPr>
          <w:i/>
          <w:szCs w:val="24"/>
          <w:lang w:val="en-US"/>
        </w:rPr>
        <w:t>N Engl J Med</w:t>
      </w:r>
      <w:r w:rsidRPr="00213050">
        <w:rPr>
          <w:szCs w:val="24"/>
          <w:lang w:val="en-US"/>
        </w:rPr>
        <w:t xml:space="preserve"> 357: 2601-14, 2007.</w:t>
      </w:r>
    </w:p>
    <w:p w:rsidR="00FC0CB8" w:rsidRPr="00213050" w:rsidRDefault="00FC0CB8" w:rsidP="000240E3">
      <w:pPr>
        <w:ind w:left="720" w:hanging="720"/>
        <w:jc w:val="both"/>
        <w:rPr>
          <w:szCs w:val="24"/>
          <w:lang w:val="en-US"/>
        </w:rPr>
      </w:pPr>
    </w:p>
    <w:p w:rsidR="00FC0CB8" w:rsidRDefault="00FC0CB8" w:rsidP="000240E3">
      <w:pPr>
        <w:jc w:val="both"/>
        <w:rPr>
          <w:szCs w:val="24"/>
          <w:lang w:val="en-US"/>
        </w:rPr>
      </w:pPr>
      <w:r w:rsidRPr="00213050">
        <w:rPr>
          <w:szCs w:val="24"/>
          <w:lang w:val="en-US"/>
        </w:rPr>
        <w:t xml:space="preserve">2. Reischig T: Cytomegalovirus-associated renal allograft rejection: new challenges for antiviral preventive strategies. </w:t>
      </w:r>
      <w:r w:rsidRPr="00213050">
        <w:rPr>
          <w:i/>
          <w:szCs w:val="24"/>
          <w:lang w:val="en-US"/>
        </w:rPr>
        <w:t>Expert Rev Anti Infect Ther</w:t>
      </w:r>
      <w:r w:rsidRPr="00213050">
        <w:rPr>
          <w:szCs w:val="24"/>
          <w:lang w:val="en-US"/>
        </w:rPr>
        <w:t xml:space="preserve"> 8: 903-10, 2010.</w:t>
      </w:r>
    </w:p>
    <w:p w:rsidR="00FC0CB8" w:rsidRPr="00213050" w:rsidRDefault="00FC0CB8" w:rsidP="000240E3">
      <w:pPr>
        <w:jc w:val="both"/>
        <w:rPr>
          <w:szCs w:val="24"/>
          <w:lang w:val="en-US"/>
        </w:rPr>
      </w:pPr>
    </w:p>
    <w:p w:rsidR="00FC0CB8" w:rsidRDefault="00FC0CB8" w:rsidP="000240E3">
      <w:pPr>
        <w:jc w:val="both"/>
        <w:rPr>
          <w:szCs w:val="24"/>
          <w:lang w:val="en-US"/>
        </w:rPr>
      </w:pPr>
      <w:r w:rsidRPr="00213050">
        <w:rPr>
          <w:szCs w:val="24"/>
          <w:lang w:val="en-US"/>
        </w:rPr>
        <w:t xml:space="preserve">3. Sagedal S, Nordal KP, Hartmann A, Sund S, Scott H, Degre M, Foss A, Leivestad T, Osnes K, Fauchald P, Rollag, H: The impact of cytomegalovirus infection and disease on rejection episodes in renal allograft recipients. </w:t>
      </w:r>
      <w:proofErr w:type="gramStart"/>
      <w:r w:rsidRPr="00213050">
        <w:rPr>
          <w:i/>
          <w:szCs w:val="24"/>
          <w:lang w:val="en-US"/>
        </w:rPr>
        <w:t>Am</w:t>
      </w:r>
      <w:proofErr w:type="gramEnd"/>
      <w:r w:rsidRPr="00213050">
        <w:rPr>
          <w:i/>
          <w:szCs w:val="24"/>
          <w:lang w:val="en-US"/>
        </w:rPr>
        <w:t xml:space="preserve"> J Transplant</w:t>
      </w:r>
      <w:r w:rsidRPr="00213050">
        <w:rPr>
          <w:szCs w:val="24"/>
          <w:lang w:val="en-US"/>
        </w:rPr>
        <w:t xml:space="preserve"> 2: 850-6, 2002.</w:t>
      </w:r>
    </w:p>
    <w:p w:rsidR="00FC0CB8" w:rsidRPr="00213050" w:rsidRDefault="00FC0CB8" w:rsidP="000240E3">
      <w:pPr>
        <w:jc w:val="both"/>
        <w:rPr>
          <w:szCs w:val="24"/>
          <w:lang w:val="en-US"/>
        </w:rPr>
      </w:pPr>
    </w:p>
    <w:p w:rsidR="00FC0CB8" w:rsidRDefault="00FC0CB8" w:rsidP="000240E3">
      <w:pPr>
        <w:jc w:val="both"/>
        <w:rPr>
          <w:szCs w:val="24"/>
          <w:lang w:val="en-US"/>
        </w:rPr>
      </w:pPr>
      <w:r w:rsidRPr="00213050">
        <w:rPr>
          <w:szCs w:val="24"/>
          <w:lang w:val="en-US"/>
        </w:rPr>
        <w:t xml:space="preserve">4. Reischig T, Jindra P, Hes O, Bouda M, Kormunda S, Treska V: Effect of cytomegalovirus viremia on subclinical rejection or interstitial fibrosis and tubular atrophy in protocol biopsy at 3 months in renal allograft recipients managed by preemptive therapy or antiviral prophylaxis. </w:t>
      </w:r>
      <w:r w:rsidRPr="00213050">
        <w:rPr>
          <w:i/>
          <w:szCs w:val="24"/>
          <w:lang w:val="en-US"/>
        </w:rPr>
        <w:t>Transplantation</w:t>
      </w:r>
      <w:r w:rsidRPr="00213050">
        <w:rPr>
          <w:szCs w:val="24"/>
          <w:lang w:val="en-US"/>
        </w:rPr>
        <w:t xml:space="preserve"> 87: 436-44, 2009.</w:t>
      </w:r>
    </w:p>
    <w:p w:rsidR="00FC0CB8" w:rsidRPr="00213050" w:rsidRDefault="00FC0CB8" w:rsidP="000240E3">
      <w:pPr>
        <w:jc w:val="both"/>
        <w:rPr>
          <w:szCs w:val="24"/>
          <w:lang w:val="en-US"/>
        </w:rPr>
      </w:pPr>
    </w:p>
    <w:p w:rsidR="00FC0CB8" w:rsidRDefault="00FC0CB8" w:rsidP="000240E3">
      <w:pPr>
        <w:jc w:val="both"/>
        <w:rPr>
          <w:szCs w:val="24"/>
          <w:lang w:val="en-US"/>
        </w:rPr>
      </w:pPr>
      <w:r w:rsidRPr="00213050">
        <w:rPr>
          <w:szCs w:val="24"/>
          <w:lang w:val="en-US"/>
        </w:rPr>
        <w:t xml:space="preserve">5. Smith JM, Corey L, Bittner R, Finn LS, Healey PJ, Davis CL, </w:t>
      </w:r>
      <w:proofErr w:type="gramStart"/>
      <w:r w:rsidRPr="00213050">
        <w:rPr>
          <w:szCs w:val="24"/>
          <w:lang w:val="en-US"/>
        </w:rPr>
        <w:t>McDonald</w:t>
      </w:r>
      <w:proofErr w:type="gramEnd"/>
      <w:r w:rsidRPr="00213050">
        <w:rPr>
          <w:szCs w:val="24"/>
          <w:lang w:val="en-US"/>
        </w:rPr>
        <w:t xml:space="preserve"> RA: Subclinical viremia increases risk for chronic allograft injury in pediatric renal transplantation. </w:t>
      </w:r>
      <w:r w:rsidRPr="00213050">
        <w:rPr>
          <w:i/>
          <w:szCs w:val="24"/>
          <w:lang w:val="en-US"/>
        </w:rPr>
        <w:t>J Am Soc Nephrol</w:t>
      </w:r>
      <w:r w:rsidRPr="00213050">
        <w:rPr>
          <w:szCs w:val="24"/>
          <w:lang w:val="en-US"/>
        </w:rPr>
        <w:t xml:space="preserve"> 21: 1579-86, 2010.</w:t>
      </w:r>
    </w:p>
    <w:p w:rsidR="00FC0CB8" w:rsidRPr="00213050" w:rsidRDefault="00FC0CB8" w:rsidP="000240E3">
      <w:pPr>
        <w:jc w:val="both"/>
        <w:rPr>
          <w:szCs w:val="24"/>
          <w:lang w:val="en-US"/>
        </w:rPr>
      </w:pPr>
    </w:p>
    <w:p w:rsidR="00FC0CB8" w:rsidRDefault="00FC0CB8" w:rsidP="000240E3">
      <w:pPr>
        <w:jc w:val="both"/>
        <w:rPr>
          <w:szCs w:val="24"/>
          <w:lang w:val="en-US"/>
        </w:rPr>
      </w:pPr>
      <w:r w:rsidRPr="00213050">
        <w:rPr>
          <w:szCs w:val="24"/>
          <w:lang w:val="en-US"/>
        </w:rPr>
        <w:t xml:space="preserve">6. Sagedal S, Hartmann A, Nordal KP, Osnes K, Leivestad T, Foss A, Degre M, Fauchald P, Rollag H: Impact of early cytomegalovirus infection and disease on long-term recipient and kidney graft survival. </w:t>
      </w:r>
      <w:r w:rsidRPr="00213050">
        <w:rPr>
          <w:i/>
          <w:szCs w:val="24"/>
          <w:lang w:val="en-US"/>
        </w:rPr>
        <w:t>Kidney Int</w:t>
      </w:r>
      <w:r w:rsidRPr="00213050">
        <w:rPr>
          <w:szCs w:val="24"/>
          <w:lang w:val="en-US"/>
        </w:rPr>
        <w:t xml:space="preserve"> 66: 329-37, 2004.</w:t>
      </w:r>
    </w:p>
    <w:p w:rsidR="00FC0CB8" w:rsidRPr="00213050" w:rsidRDefault="00FC0CB8" w:rsidP="000240E3">
      <w:pPr>
        <w:jc w:val="both"/>
        <w:rPr>
          <w:szCs w:val="24"/>
          <w:lang w:val="en-US"/>
        </w:rPr>
      </w:pPr>
    </w:p>
    <w:p w:rsidR="00FC0CB8" w:rsidRDefault="00FC0CB8" w:rsidP="000240E3">
      <w:pPr>
        <w:jc w:val="both"/>
        <w:rPr>
          <w:szCs w:val="24"/>
          <w:lang w:val="en-US"/>
        </w:rPr>
      </w:pPr>
      <w:r w:rsidRPr="00213050">
        <w:rPr>
          <w:szCs w:val="24"/>
          <w:lang w:val="en-US"/>
        </w:rPr>
        <w:t xml:space="preserve">7. Kotton CN, Kumar D, Caliendo AM, Asberg A, Chou S, Snydman DR, Allen U, Humar A: International consensus guidelines on the management of cytomegalovirus in solid organ transplantation. </w:t>
      </w:r>
      <w:r w:rsidRPr="00213050">
        <w:rPr>
          <w:i/>
          <w:szCs w:val="24"/>
          <w:lang w:val="en-US"/>
        </w:rPr>
        <w:t>Transplantation</w:t>
      </w:r>
      <w:r w:rsidRPr="00213050">
        <w:rPr>
          <w:szCs w:val="24"/>
          <w:lang w:val="en-US"/>
        </w:rPr>
        <w:t xml:space="preserve"> 89: 779-95, 2010.</w:t>
      </w:r>
    </w:p>
    <w:p w:rsidR="00FC0CB8" w:rsidRDefault="00FC0CB8" w:rsidP="000240E3">
      <w:pPr>
        <w:jc w:val="both"/>
        <w:rPr>
          <w:szCs w:val="24"/>
          <w:lang w:val="en-US"/>
        </w:rPr>
      </w:pPr>
    </w:p>
    <w:p w:rsidR="00FC0CB8" w:rsidRDefault="00FC0CB8" w:rsidP="00D97213">
      <w:pPr>
        <w:jc w:val="both"/>
        <w:rPr>
          <w:szCs w:val="24"/>
          <w:lang w:val="en-US"/>
        </w:rPr>
      </w:pPr>
      <w:r w:rsidRPr="00213050">
        <w:rPr>
          <w:szCs w:val="24"/>
          <w:lang w:val="en-US"/>
        </w:rPr>
        <w:t xml:space="preserve">8. Paya C, Humar A, Dominguez E, Washburn K, Blumberg E, Alexander B, Freeman R, Heaton N, </w:t>
      </w:r>
      <w:proofErr w:type="gramStart"/>
      <w:r w:rsidRPr="00213050">
        <w:rPr>
          <w:szCs w:val="24"/>
          <w:lang w:val="en-US"/>
        </w:rPr>
        <w:t>Pescovitz</w:t>
      </w:r>
      <w:proofErr w:type="gramEnd"/>
      <w:r w:rsidRPr="00213050">
        <w:rPr>
          <w:szCs w:val="24"/>
          <w:lang w:val="en-US"/>
        </w:rPr>
        <w:t xml:space="preserve"> MD: Efficacy and safety of valganciclovir vs. oral ganciclovir for prevention of cytomegalovirus disease in solid organ transplant recipients. </w:t>
      </w:r>
      <w:proofErr w:type="gramStart"/>
      <w:r w:rsidRPr="00213050">
        <w:rPr>
          <w:i/>
          <w:szCs w:val="24"/>
          <w:lang w:val="en-US"/>
        </w:rPr>
        <w:t>Am</w:t>
      </w:r>
      <w:proofErr w:type="gramEnd"/>
      <w:r w:rsidRPr="00213050">
        <w:rPr>
          <w:i/>
          <w:szCs w:val="24"/>
          <w:lang w:val="en-US"/>
        </w:rPr>
        <w:t xml:space="preserve"> J Transplant</w:t>
      </w:r>
      <w:r w:rsidRPr="00213050">
        <w:rPr>
          <w:szCs w:val="24"/>
          <w:lang w:val="en-US"/>
        </w:rPr>
        <w:t xml:space="preserve"> 4: 611-20, 2004.</w:t>
      </w:r>
    </w:p>
    <w:p w:rsidR="00FC0CB8" w:rsidRDefault="00FC0CB8" w:rsidP="00D97213">
      <w:pPr>
        <w:jc w:val="both"/>
        <w:rPr>
          <w:szCs w:val="24"/>
          <w:lang w:val="en-US"/>
        </w:rPr>
      </w:pPr>
    </w:p>
    <w:p w:rsidR="00FC0CB8" w:rsidRDefault="00FC0CB8" w:rsidP="00F27EB7">
      <w:pPr>
        <w:jc w:val="both"/>
        <w:rPr>
          <w:szCs w:val="24"/>
          <w:lang w:val="en-US"/>
        </w:rPr>
      </w:pPr>
      <w:r w:rsidRPr="00213050">
        <w:rPr>
          <w:szCs w:val="24"/>
          <w:lang w:val="en-US"/>
        </w:rPr>
        <w:t xml:space="preserve">9. Lowance D, Neumayer HH, Legendre CM, Squifflet JP, Kovarik J, Brennan PJ, Norman D, Mendez R, Keating MR, Coggon GL, Crisp </w:t>
      </w:r>
      <w:proofErr w:type="gramStart"/>
      <w:r w:rsidRPr="00213050">
        <w:rPr>
          <w:szCs w:val="24"/>
          <w:lang w:val="en-US"/>
        </w:rPr>
        <w:t>A</w:t>
      </w:r>
      <w:proofErr w:type="gramEnd"/>
      <w:r w:rsidRPr="00213050">
        <w:rPr>
          <w:szCs w:val="24"/>
          <w:lang w:val="en-US"/>
        </w:rPr>
        <w:t xml:space="preserve">, Lee IC: Valacyclovir for the prevention of cytomegalovirus disease after renal transplantation. International Valacyclovir Cytomegalovirus Prophylaxis Transplantation Study Group. </w:t>
      </w:r>
      <w:r w:rsidRPr="00213050">
        <w:rPr>
          <w:i/>
          <w:szCs w:val="24"/>
          <w:lang w:val="en-US"/>
        </w:rPr>
        <w:t>N Engl J Med</w:t>
      </w:r>
      <w:r w:rsidRPr="00213050">
        <w:rPr>
          <w:szCs w:val="24"/>
          <w:lang w:val="en-US"/>
        </w:rPr>
        <w:t xml:space="preserve"> 340: 1462-70, 1999.</w:t>
      </w:r>
    </w:p>
    <w:p w:rsidR="00FC0CB8" w:rsidRPr="00213050" w:rsidRDefault="00FC0CB8" w:rsidP="00F27EB7">
      <w:pPr>
        <w:jc w:val="both"/>
        <w:rPr>
          <w:szCs w:val="24"/>
          <w:lang w:val="en-US"/>
        </w:rPr>
      </w:pPr>
    </w:p>
    <w:p w:rsidR="00FC0CB8" w:rsidRDefault="00FC0CB8" w:rsidP="00F27EB7">
      <w:pPr>
        <w:jc w:val="both"/>
        <w:rPr>
          <w:szCs w:val="24"/>
          <w:lang w:val="en-US"/>
        </w:rPr>
      </w:pPr>
      <w:r>
        <w:rPr>
          <w:szCs w:val="24"/>
          <w:lang w:val="en-US"/>
        </w:rPr>
        <w:t>10</w:t>
      </w:r>
      <w:r w:rsidRPr="00213050">
        <w:rPr>
          <w:szCs w:val="24"/>
          <w:lang w:val="en-US"/>
        </w:rPr>
        <w:t xml:space="preserve">. Humar A, Lebranchu Y, Vincenti F, Blumberg EA, Punch JD, Limaye AP, Abramowicz D, Jardine AG, Voulgari AT, Ives J, </w:t>
      </w:r>
      <w:proofErr w:type="gramStart"/>
      <w:r w:rsidRPr="00213050">
        <w:rPr>
          <w:szCs w:val="24"/>
          <w:lang w:val="en-US"/>
        </w:rPr>
        <w:t>Hauser</w:t>
      </w:r>
      <w:proofErr w:type="gramEnd"/>
      <w:r w:rsidRPr="00213050">
        <w:rPr>
          <w:szCs w:val="24"/>
          <w:lang w:val="en-US"/>
        </w:rPr>
        <w:t xml:space="preserve"> IA, Peeters P: The efficacy and safety of 200 days valganciclovir cytomegalovirus prophylaxis in high-risk kidney transplant recipients. </w:t>
      </w:r>
      <w:proofErr w:type="gramStart"/>
      <w:r w:rsidRPr="00213050">
        <w:rPr>
          <w:i/>
          <w:szCs w:val="24"/>
          <w:lang w:val="en-US"/>
        </w:rPr>
        <w:t>Am</w:t>
      </w:r>
      <w:proofErr w:type="gramEnd"/>
      <w:r w:rsidRPr="00213050">
        <w:rPr>
          <w:i/>
          <w:szCs w:val="24"/>
          <w:lang w:val="en-US"/>
        </w:rPr>
        <w:t xml:space="preserve"> J Transplant</w:t>
      </w:r>
      <w:r w:rsidRPr="00213050">
        <w:rPr>
          <w:szCs w:val="24"/>
          <w:lang w:val="en-US"/>
        </w:rPr>
        <w:t xml:space="preserve"> 10: 1228-37, 2010.</w:t>
      </w:r>
    </w:p>
    <w:p w:rsidR="00FC0CB8" w:rsidRPr="00213050" w:rsidRDefault="00FC0CB8" w:rsidP="00F27EB7">
      <w:pPr>
        <w:jc w:val="both"/>
        <w:rPr>
          <w:szCs w:val="24"/>
          <w:lang w:val="en-US"/>
        </w:rPr>
      </w:pPr>
    </w:p>
    <w:p w:rsidR="00FC0CB8" w:rsidRDefault="00FC0CB8" w:rsidP="00B63D41">
      <w:pPr>
        <w:jc w:val="both"/>
        <w:rPr>
          <w:szCs w:val="24"/>
          <w:lang w:val="en-US"/>
        </w:rPr>
      </w:pPr>
      <w:r>
        <w:rPr>
          <w:szCs w:val="24"/>
          <w:lang w:val="en-US"/>
        </w:rPr>
        <w:t>11</w:t>
      </w:r>
      <w:r w:rsidRPr="00213050">
        <w:rPr>
          <w:szCs w:val="24"/>
          <w:lang w:val="en-US"/>
        </w:rPr>
        <w:t xml:space="preserve">. Khoury JA, Storch GA, Bohl DL, Schuessler RM, Torrence SM, Lockwood M, Gaudreault-Keener M, Koch, MJ, Miller BW, Hardinger KL, Schnitzler MA, Brennan DC: Prophylactic versus preemptive oral valganciclovir for the management of cytomegalovirus infection in adult renal transplant recipients. </w:t>
      </w:r>
      <w:proofErr w:type="gramStart"/>
      <w:r w:rsidRPr="00213050">
        <w:rPr>
          <w:i/>
          <w:szCs w:val="24"/>
          <w:lang w:val="en-US"/>
        </w:rPr>
        <w:t>Am</w:t>
      </w:r>
      <w:proofErr w:type="gramEnd"/>
      <w:r w:rsidRPr="00213050">
        <w:rPr>
          <w:i/>
          <w:szCs w:val="24"/>
          <w:lang w:val="en-US"/>
        </w:rPr>
        <w:t xml:space="preserve"> J Transplant</w:t>
      </w:r>
      <w:r w:rsidRPr="00213050">
        <w:rPr>
          <w:szCs w:val="24"/>
          <w:lang w:val="en-US"/>
        </w:rPr>
        <w:t xml:space="preserve"> 6: 2134-43, 2006.</w:t>
      </w:r>
    </w:p>
    <w:p w:rsidR="00FC0CB8" w:rsidRPr="00213050" w:rsidRDefault="00FC0CB8" w:rsidP="00B63D41">
      <w:pPr>
        <w:jc w:val="both"/>
        <w:rPr>
          <w:szCs w:val="24"/>
          <w:lang w:val="en-US"/>
        </w:rPr>
      </w:pPr>
    </w:p>
    <w:p w:rsidR="00FC0CB8" w:rsidRDefault="00FC0CB8" w:rsidP="00B63D41">
      <w:pPr>
        <w:jc w:val="both"/>
        <w:rPr>
          <w:lang w:val="en-US"/>
        </w:rPr>
      </w:pPr>
      <w:r w:rsidRPr="00E367A7">
        <w:rPr>
          <w:lang w:val="en-US"/>
        </w:rPr>
        <w:lastRenderedPageBreak/>
        <w:t xml:space="preserve">12. Reischig T, Jindra P, Hes O, Svecova M, Klaboch J, Treska V: Valacyclovir prophylaxis versus preemptive valganciclovir therapy to prevent cytomegalovirus disease after renal transplantation. </w:t>
      </w:r>
      <w:proofErr w:type="gramStart"/>
      <w:r w:rsidRPr="00E367A7">
        <w:rPr>
          <w:i/>
          <w:lang w:val="en-US"/>
        </w:rPr>
        <w:t>Am</w:t>
      </w:r>
      <w:proofErr w:type="gramEnd"/>
      <w:r w:rsidRPr="00E367A7">
        <w:rPr>
          <w:i/>
          <w:lang w:val="en-US"/>
        </w:rPr>
        <w:t xml:space="preserve"> J Transplant</w:t>
      </w:r>
      <w:r w:rsidRPr="00E367A7">
        <w:rPr>
          <w:lang w:val="en-US"/>
        </w:rPr>
        <w:t xml:space="preserve"> 8: 69-77, 2008</w:t>
      </w:r>
      <w:r>
        <w:rPr>
          <w:lang w:val="en-US"/>
        </w:rPr>
        <w:t>.</w:t>
      </w:r>
    </w:p>
    <w:p w:rsidR="00FC0CB8" w:rsidRPr="00E367A7" w:rsidRDefault="00FC0CB8" w:rsidP="00B63D41">
      <w:pPr>
        <w:jc w:val="both"/>
        <w:rPr>
          <w:lang w:val="en-US"/>
        </w:rPr>
      </w:pPr>
    </w:p>
    <w:p w:rsidR="00FC0CB8" w:rsidRPr="00E367A7" w:rsidRDefault="00FC0CB8" w:rsidP="00B63D41">
      <w:pPr>
        <w:pStyle w:val="Nadpis1"/>
        <w:spacing w:line="240" w:lineRule="auto"/>
        <w:jc w:val="both"/>
        <w:rPr>
          <w:b w:val="0"/>
          <w:smallCaps w:val="0"/>
          <w:sz w:val="20"/>
        </w:rPr>
      </w:pPr>
      <w:r w:rsidRPr="00E367A7">
        <w:rPr>
          <w:b w:val="0"/>
          <w:smallCaps w:val="0"/>
          <w:sz w:val="20"/>
          <w:lang w:val="en-US"/>
        </w:rPr>
        <w:t xml:space="preserve">13. </w:t>
      </w:r>
      <w:r w:rsidRPr="00E367A7">
        <w:rPr>
          <w:b w:val="0"/>
          <w:bCs/>
          <w:smallCaps w:val="0"/>
          <w:sz w:val="20"/>
        </w:rPr>
        <w:t>Atabani</w:t>
      </w:r>
      <w:r w:rsidRPr="00E367A7">
        <w:rPr>
          <w:b w:val="0"/>
          <w:smallCaps w:val="0"/>
          <w:sz w:val="20"/>
        </w:rPr>
        <w:t xml:space="preserve"> SF, Smith C, Atkinson C, Aldridge RW, Rodriguez-Perálvarez M, Rolando N, Harber M, Jones G, O'Riordan A, Burroughs AK, Thorburn D, O'Beirne J, Milne RS, Emery VC, Griffiths PD</w:t>
      </w:r>
      <w:r w:rsidRPr="00E367A7">
        <w:rPr>
          <w:b w:val="0"/>
          <w:smallCaps w:val="0"/>
          <w:sz w:val="20"/>
          <w:lang w:val="en-US"/>
        </w:rPr>
        <w:t xml:space="preserve">: </w:t>
      </w:r>
      <w:r w:rsidRPr="00E367A7">
        <w:rPr>
          <w:b w:val="0"/>
          <w:smallCaps w:val="0"/>
          <w:sz w:val="20"/>
        </w:rPr>
        <w:t>Cytomegalovirus replication kinetics in solid organ transplant recipients managed by preemptive therapy</w:t>
      </w:r>
      <w:r w:rsidRPr="00E367A7">
        <w:rPr>
          <w:b w:val="0"/>
          <w:smallCaps w:val="0"/>
          <w:sz w:val="20"/>
          <w:lang w:val="en-US"/>
        </w:rPr>
        <w:t xml:space="preserve">. </w:t>
      </w:r>
      <w:proofErr w:type="gramStart"/>
      <w:r w:rsidRPr="00E367A7">
        <w:rPr>
          <w:b w:val="0"/>
          <w:i/>
          <w:smallCaps w:val="0"/>
          <w:sz w:val="20"/>
          <w:lang w:val="en-US"/>
        </w:rPr>
        <w:t>Am</w:t>
      </w:r>
      <w:proofErr w:type="gramEnd"/>
      <w:r w:rsidRPr="00E367A7">
        <w:rPr>
          <w:b w:val="0"/>
          <w:i/>
          <w:smallCaps w:val="0"/>
          <w:sz w:val="20"/>
          <w:lang w:val="en-US"/>
        </w:rPr>
        <w:t xml:space="preserve"> J Transplant</w:t>
      </w:r>
      <w:r w:rsidRPr="00E367A7">
        <w:rPr>
          <w:b w:val="0"/>
          <w:smallCaps w:val="0"/>
          <w:sz w:val="20"/>
          <w:lang w:val="en-US"/>
        </w:rPr>
        <w:t xml:space="preserve"> 12: 2457-2464, 2012</w:t>
      </w:r>
      <w:r>
        <w:rPr>
          <w:b w:val="0"/>
          <w:smallCaps w:val="0"/>
          <w:sz w:val="20"/>
          <w:lang w:val="en-US"/>
        </w:rPr>
        <w:t>.</w:t>
      </w:r>
    </w:p>
    <w:p w:rsidR="00FC0CB8" w:rsidRPr="00E367A7" w:rsidRDefault="00FC0CB8" w:rsidP="00B63D41">
      <w:pPr>
        <w:jc w:val="both"/>
        <w:rPr>
          <w:lang w:val="en-US"/>
        </w:rPr>
      </w:pPr>
    </w:p>
    <w:p w:rsidR="00FC0CB8" w:rsidRPr="00213050" w:rsidRDefault="00FC0CB8" w:rsidP="00B63D41">
      <w:pPr>
        <w:jc w:val="both"/>
        <w:rPr>
          <w:szCs w:val="24"/>
          <w:lang w:val="en-US"/>
        </w:rPr>
      </w:pPr>
      <w:r>
        <w:rPr>
          <w:szCs w:val="24"/>
          <w:lang w:val="en-US"/>
        </w:rPr>
        <w:t>14</w:t>
      </w:r>
      <w:r w:rsidRPr="00213050">
        <w:rPr>
          <w:szCs w:val="24"/>
          <w:lang w:val="en-US"/>
        </w:rPr>
        <w:t xml:space="preserve">. Kliem V, Fricke L, Wollbrink T, Burg M, </w:t>
      </w:r>
      <w:proofErr w:type="gramStart"/>
      <w:r w:rsidRPr="00213050">
        <w:rPr>
          <w:szCs w:val="24"/>
          <w:lang w:val="en-US"/>
        </w:rPr>
        <w:t>Radermacher</w:t>
      </w:r>
      <w:proofErr w:type="gramEnd"/>
      <w:r w:rsidRPr="00213050">
        <w:rPr>
          <w:szCs w:val="24"/>
          <w:lang w:val="en-US"/>
        </w:rPr>
        <w:t xml:space="preserve"> J, Rohde F: Improvement in long-term renal graft survival due to CMV prophylaxis with oral ganciclovir: results of a randomized clinical trial. </w:t>
      </w:r>
      <w:proofErr w:type="gramStart"/>
      <w:r w:rsidRPr="00213050">
        <w:rPr>
          <w:i/>
          <w:szCs w:val="24"/>
          <w:lang w:val="en-US"/>
        </w:rPr>
        <w:t>Am</w:t>
      </w:r>
      <w:proofErr w:type="gramEnd"/>
      <w:r w:rsidRPr="00213050">
        <w:rPr>
          <w:i/>
          <w:szCs w:val="24"/>
          <w:lang w:val="en-US"/>
        </w:rPr>
        <w:t xml:space="preserve"> J Transplant</w:t>
      </w:r>
      <w:r w:rsidRPr="00213050">
        <w:rPr>
          <w:szCs w:val="24"/>
          <w:lang w:val="en-US"/>
        </w:rPr>
        <w:t xml:space="preserve"> 8: 975-83, 2008.</w:t>
      </w:r>
    </w:p>
    <w:p w:rsidR="00FC0CB8" w:rsidRDefault="00FC0CB8" w:rsidP="00B63D41">
      <w:pPr>
        <w:jc w:val="both"/>
        <w:rPr>
          <w:lang w:val="en-US"/>
        </w:rPr>
      </w:pPr>
    </w:p>
    <w:p w:rsidR="00FC0CB8" w:rsidRPr="00213050" w:rsidRDefault="00FC0CB8" w:rsidP="00B63D41">
      <w:pPr>
        <w:jc w:val="both"/>
        <w:rPr>
          <w:szCs w:val="24"/>
          <w:lang w:val="en-US"/>
        </w:rPr>
      </w:pPr>
      <w:r>
        <w:rPr>
          <w:szCs w:val="24"/>
          <w:lang w:val="en-US"/>
        </w:rPr>
        <w:t>15</w:t>
      </w:r>
      <w:r w:rsidRPr="00213050">
        <w:rPr>
          <w:szCs w:val="24"/>
          <w:lang w:val="en-US"/>
        </w:rPr>
        <w:t xml:space="preserve">. Witzke O, Hauser IA, Bartels M, Wolf G, Wolters H, Nitschke M: Valganciclovir Prophylaxis Versus Preemptive Therapy in Cytomegalovirus-Positive Renal Allograft Recipients: 1-Year Results of a Randomized Clinical Trial. </w:t>
      </w:r>
      <w:r w:rsidRPr="00213050">
        <w:rPr>
          <w:i/>
          <w:szCs w:val="24"/>
          <w:lang w:val="en-US"/>
        </w:rPr>
        <w:t>Transplantation</w:t>
      </w:r>
      <w:r w:rsidRPr="00213050">
        <w:rPr>
          <w:szCs w:val="24"/>
          <w:lang w:val="en-US"/>
        </w:rPr>
        <w:t xml:space="preserve"> 93: 61-68, 2012.</w:t>
      </w:r>
    </w:p>
    <w:p w:rsidR="00FC0CB8" w:rsidRPr="00E367A7" w:rsidRDefault="00FC0CB8" w:rsidP="00B63D41">
      <w:pPr>
        <w:jc w:val="both"/>
        <w:rPr>
          <w:lang w:val="en-US"/>
        </w:rPr>
      </w:pPr>
    </w:p>
    <w:p w:rsidR="00FC0CB8" w:rsidRPr="00213050" w:rsidRDefault="00FC0CB8" w:rsidP="00B63D41">
      <w:pPr>
        <w:jc w:val="both"/>
        <w:rPr>
          <w:szCs w:val="24"/>
          <w:lang w:val="en-US"/>
        </w:rPr>
      </w:pPr>
      <w:r>
        <w:rPr>
          <w:szCs w:val="24"/>
          <w:lang w:val="en-US"/>
        </w:rPr>
        <w:t>16. Luan FL,</w:t>
      </w:r>
      <w:r w:rsidRPr="00213050">
        <w:rPr>
          <w:szCs w:val="24"/>
          <w:lang w:val="en-US"/>
        </w:rPr>
        <w:t xml:space="preserve"> </w:t>
      </w:r>
      <w:r>
        <w:rPr>
          <w:szCs w:val="24"/>
          <w:lang w:val="en-US"/>
        </w:rPr>
        <w:t>Kommareddi M, Ojo AO</w:t>
      </w:r>
      <w:r w:rsidRPr="00213050">
        <w:rPr>
          <w:szCs w:val="24"/>
          <w:lang w:val="en-US"/>
        </w:rPr>
        <w:t xml:space="preserve">: </w:t>
      </w:r>
      <w:r>
        <w:rPr>
          <w:szCs w:val="24"/>
          <w:lang w:val="en-US"/>
        </w:rPr>
        <w:t>Impact of cytomegalovirus disease in D+/R- kidney transplant patients receiving 6 months low-dose valganciclovir prophylaxis</w:t>
      </w:r>
      <w:r w:rsidRPr="00213050">
        <w:rPr>
          <w:szCs w:val="24"/>
          <w:lang w:val="en-US"/>
        </w:rPr>
        <w:t xml:space="preserve">. </w:t>
      </w:r>
      <w:proofErr w:type="gramStart"/>
      <w:r w:rsidRPr="00213050">
        <w:rPr>
          <w:i/>
          <w:szCs w:val="24"/>
          <w:lang w:val="en-US"/>
        </w:rPr>
        <w:t>Am</w:t>
      </w:r>
      <w:proofErr w:type="gramEnd"/>
      <w:r w:rsidRPr="00213050">
        <w:rPr>
          <w:i/>
          <w:szCs w:val="24"/>
          <w:lang w:val="en-US"/>
        </w:rPr>
        <w:t xml:space="preserve"> J Transplant</w:t>
      </w:r>
      <w:r>
        <w:rPr>
          <w:szCs w:val="24"/>
          <w:lang w:val="en-US"/>
        </w:rPr>
        <w:t xml:space="preserve"> 11</w:t>
      </w:r>
      <w:r w:rsidRPr="00213050">
        <w:rPr>
          <w:szCs w:val="24"/>
          <w:lang w:val="en-US"/>
        </w:rPr>
        <w:t xml:space="preserve">: </w:t>
      </w:r>
      <w:r>
        <w:rPr>
          <w:szCs w:val="24"/>
          <w:lang w:val="en-US"/>
        </w:rPr>
        <w:t>1936-42, 2011</w:t>
      </w:r>
      <w:r w:rsidRPr="00213050">
        <w:rPr>
          <w:szCs w:val="24"/>
          <w:lang w:val="en-US"/>
        </w:rPr>
        <w:t>.</w:t>
      </w:r>
    </w:p>
    <w:p w:rsidR="00FC0CB8" w:rsidRPr="00E367A7" w:rsidRDefault="00FC0CB8" w:rsidP="00B63D41">
      <w:pPr>
        <w:jc w:val="both"/>
        <w:rPr>
          <w:lang w:val="en-US"/>
        </w:rPr>
      </w:pPr>
    </w:p>
    <w:p w:rsidR="00FC0CB8" w:rsidRDefault="00FC0CB8" w:rsidP="00B63D41">
      <w:pPr>
        <w:jc w:val="both"/>
        <w:rPr>
          <w:lang w:val="en-US"/>
        </w:rPr>
      </w:pPr>
      <w:r>
        <w:rPr>
          <w:lang w:val="en-US"/>
        </w:rPr>
        <w:t>17</w:t>
      </w:r>
      <w:r w:rsidRPr="00E367A7">
        <w:rPr>
          <w:lang w:val="en-US"/>
        </w:rPr>
        <w:t xml:space="preserve">. Reischig T, </w:t>
      </w:r>
      <w:r>
        <w:rPr>
          <w:lang w:val="en-US"/>
        </w:rPr>
        <w:t xml:space="preserve">Hribova P, </w:t>
      </w:r>
      <w:r w:rsidRPr="00E367A7">
        <w:rPr>
          <w:lang w:val="en-US"/>
        </w:rPr>
        <w:t xml:space="preserve">Jindra P, Hes O, </w:t>
      </w:r>
      <w:r>
        <w:rPr>
          <w:lang w:val="en-US"/>
        </w:rPr>
        <w:t xml:space="preserve">Bouda M, </w:t>
      </w:r>
      <w:proofErr w:type="gramStart"/>
      <w:r>
        <w:rPr>
          <w:lang w:val="en-US"/>
        </w:rPr>
        <w:t>T</w:t>
      </w:r>
      <w:r w:rsidRPr="00E367A7">
        <w:rPr>
          <w:lang w:val="en-US"/>
        </w:rPr>
        <w:t>reska</w:t>
      </w:r>
      <w:proofErr w:type="gramEnd"/>
      <w:r w:rsidRPr="00E367A7">
        <w:rPr>
          <w:lang w:val="en-US"/>
        </w:rPr>
        <w:t xml:space="preserve"> V</w:t>
      </w:r>
      <w:r>
        <w:rPr>
          <w:lang w:val="en-US"/>
        </w:rPr>
        <w:t>, Viklicky O</w:t>
      </w:r>
      <w:r w:rsidRPr="00E367A7">
        <w:rPr>
          <w:lang w:val="en-US"/>
        </w:rPr>
        <w:t xml:space="preserve">: </w:t>
      </w:r>
      <w:r>
        <w:rPr>
          <w:lang w:val="en-US"/>
        </w:rPr>
        <w:t xml:space="preserve">Long-term outcomes of </w:t>
      </w:r>
      <w:r w:rsidRPr="00E367A7">
        <w:rPr>
          <w:lang w:val="en-US"/>
        </w:rPr>
        <w:t>pre</w:t>
      </w:r>
      <w:r>
        <w:rPr>
          <w:lang w:val="en-US"/>
        </w:rPr>
        <w:t>-</w:t>
      </w:r>
      <w:r w:rsidRPr="00E367A7">
        <w:rPr>
          <w:lang w:val="en-US"/>
        </w:rPr>
        <w:t xml:space="preserve">emptive valganciclovir </w:t>
      </w:r>
      <w:r>
        <w:rPr>
          <w:lang w:val="en-US"/>
        </w:rPr>
        <w:t>compared with v</w:t>
      </w:r>
      <w:r w:rsidRPr="00E367A7">
        <w:rPr>
          <w:lang w:val="en-US"/>
        </w:rPr>
        <w:t xml:space="preserve">alacyclovir prophylaxis </w:t>
      </w:r>
      <w:r>
        <w:rPr>
          <w:lang w:val="en-US"/>
        </w:rPr>
        <w:t>for</w:t>
      </w:r>
      <w:r w:rsidRPr="00E367A7">
        <w:rPr>
          <w:lang w:val="en-US"/>
        </w:rPr>
        <w:t xml:space="preserve"> prevent</w:t>
      </w:r>
      <w:r>
        <w:rPr>
          <w:lang w:val="en-US"/>
        </w:rPr>
        <w:t>ion</w:t>
      </w:r>
      <w:r w:rsidRPr="00E367A7">
        <w:rPr>
          <w:lang w:val="en-US"/>
        </w:rPr>
        <w:t xml:space="preserve"> </w:t>
      </w:r>
      <w:r>
        <w:rPr>
          <w:lang w:val="en-US"/>
        </w:rPr>
        <w:t xml:space="preserve">of </w:t>
      </w:r>
      <w:r w:rsidRPr="00E367A7">
        <w:rPr>
          <w:lang w:val="en-US"/>
        </w:rPr>
        <w:t xml:space="preserve">cytomegalovirus </w:t>
      </w:r>
      <w:r>
        <w:rPr>
          <w:lang w:val="en-US"/>
        </w:rPr>
        <w:t xml:space="preserve">in </w:t>
      </w:r>
      <w:r w:rsidRPr="00E367A7">
        <w:rPr>
          <w:lang w:val="en-US"/>
        </w:rPr>
        <w:t xml:space="preserve">renal transplantation. </w:t>
      </w:r>
      <w:r w:rsidRPr="00E367A7">
        <w:rPr>
          <w:i/>
          <w:lang w:val="en-US"/>
        </w:rPr>
        <w:t xml:space="preserve">J </w:t>
      </w:r>
      <w:r>
        <w:rPr>
          <w:i/>
          <w:lang w:val="en-US"/>
        </w:rPr>
        <w:t xml:space="preserve">Am Soc Nephrol </w:t>
      </w:r>
      <w:r>
        <w:rPr>
          <w:lang w:val="en-US"/>
        </w:rPr>
        <w:t>23: 1588-97, 2012.</w:t>
      </w:r>
    </w:p>
    <w:p w:rsidR="00FC0CB8" w:rsidRDefault="00FC0CB8" w:rsidP="00B63D41">
      <w:pPr>
        <w:jc w:val="both"/>
        <w:rPr>
          <w:szCs w:val="24"/>
          <w:lang w:val="en-US"/>
        </w:rPr>
      </w:pPr>
    </w:p>
    <w:p w:rsidR="00FC0CB8" w:rsidRPr="00213050" w:rsidRDefault="00FC0CB8" w:rsidP="00B63D41">
      <w:pPr>
        <w:jc w:val="both"/>
        <w:rPr>
          <w:szCs w:val="24"/>
          <w:lang w:val="en-US"/>
        </w:rPr>
      </w:pPr>
      <w:r>
        <w:rPr>
          <w:szCs w:val="24"/>
          <w:lang w:val="en-US"/>
        </w:rPr>
        <w:t>18</w:t>
      </w:r>
      <w:r w:rsidRPr="00213050">
        <w:rPr>
          <w:szCs w:val="24"/>
          <w:lang w:val="en-US"/>
        </w:rPr>
        <w:t xml:space="preserve">. Hodson EM, Jones CA, Webster AC, Strippoli GF, Barclay PG, Kable K, Vimalachandra D, Craig JC: Antiviral medications to prevent cytomegalovirus disease and early death in recipients of solid-organ transplants: a systematic review of randomised controlled trials. </w:t>
      </w:r>
      <w:r w:rsidRPr="00213050">
        <w:rPr>
          <w:i/>
          <w:szCs w:val="24"/>
          <w:lang w:val="en-US"/>
        </w:rPr>
        <w:t>Lancet</w:t>
      </w:r>
      <w:r w:rsidRPr="00213050">
        <w:rPr>
          <w:szCs w:val="24"/>
          <w:lang w:val="en-US"/>
        </w:rPr>
        <w:t xml:space="preserve"> 365: 2105-15, 2005.</w:t>
      </w:r>
    </w:p>
    <w:p w:rsidR="00FC0CB8" w:rsidRDefault="00FC0CB8" w:rsidP="00B63D41">
      <w:pPr>
        <w:jc w:val="both"/>
        <w:rPr>
          <w:szCs w:val="24"/>
          <w:lang w:val="en-US"/>
        </w:rPr>
      </w:pPr>
    </w:p>
    <w:p w:rsidR="00FC0CB8" w:rsidRPr="00F56E50" w:rsidRDefault="00FC0CB8" w:rsidP="00B63D41">
      <w:pPr>
        <w:jc w:val="both"/>
        <w:rPr>
          <w:lang w:val="en-US"/>
        </w:rPr>
      </w:pPr>
      <w:r w:rsidRPr="00F56E50">
        <w:rPr>
          <w:lang w:val="en-US"/>
        </w:rPr>
        <w:t xml:space="preserve">19. Kalil AC, Levitsky J, Lyden E, Stoner J, Freifeld AG: Meta-analysis: the efficacy of strategies to prevent organ disease by cytomegalovirus in solid organ transplant recipients. </w:t>
      </w:r>
      <w:r w:rsidRPr="00F56E50">
        <w:rPr>
          <w:i/>
          <w:lang w:val="en-US"/>
        </w:rPr>
        <w:t>Ann Intern Med</w:t>
      </w:r>
      <w:r w:rsidRPr="00F56E50">
        <w:rPr>
          <w:lang w:val="en-US"/>
        </w:rPr>
        <w:t xml:space="preserve"> 143: 870-80, 2005.</w:t>
      </w:r>
    </w:p>
    <w:p w:rsidR="00FC0CB8" w:rsidRPr="00F56E50" w:rsidRDefault="00FC0CB8" w:rsidP="00B63D41">
      <w:pPr>
        <w:jc w:val="both"/>
        <w:rPr>
          <w:lang w:val="en-US"/>
        </w:rPr>
      </w:pPr>
    </w:p>
    <w:p w:rsidR="00FC0CB8" w:rsidRDefault="00FC0CB8" w:rsidP="00B63D41">
      <w:pPr>
        <w:pStyle w:val="desc"/>
        <w:spacing w:before="0" w:beforeAutospacing="0" w:after="0" w:afterAutospacing="0"/>
        <w:jc w:val="both"/>
        <w:rPr>
          <w:sz w:val="20"/>
          <w:szCs w:val="20"/>
          <w:lang w:val="en-US"/>
        </w:rPr>
      </w:pPr>
      <w:r w:rsidRPr="000500CE">
        <w:rPr>
          <w:sz w:val="20"/>
          <w:szCs w:val="20"/>
          <w:lang w:val="de-DE"/>
        </w:rPr>
        <w:t xml:space="preserve">20. Gerna G, Lilleri D, Fornara C, </w:t>
      </w:r>
      <w:r w:rsidRPr="000500CE">
        <w:rPr>
          <w:sz w:val="20"/>
          <w:szCs w:val="20"/>
        </w:rPr>
        <w:t>Comolli G, Lozza L, Campana C, Pellegrini C, Meloni F, Rampino T.</w:t>
      </w:r>
      <w:r w:rsidRPr="000500CE">
        <w:rPr>
          <w:sz w:val="20"/>
          <w:szCs w:val="20"/>
          <w:lang w:val="de-DE"/>
        </w:rPr>
        <w:t xml:space="preserve"> </w:t>
      </w:r>
      <w:r w:rsidRPr="000500CE">
        <w:rPr>
          <w:sz w:val="20"/>
          <w:szCs w:val="20"/>
          <w:lang w:val="en-US"/>
        </w:rPr>
        <w:t xml:space="preserve">Monitoring of human cytomegalovirus-specific CD4 and CD8 T-cell immunity in patients receiving solid organ transplantation. </w:t>
      </w:r>
      <w:r w:rsidRPr="000500CE">
        <w:rPr>
          <w:i/>
          <w:sz w:val="20"/>
          <w:szCs w:val="20"/>
          <w:lang w:val="en-US"/>
        </w:rPr>
        <w:t xml:space="preserve">Am J </w:t>
      </w:r>
      <w:proofErr w:type="gramStart"/>
      <w:r w:rsidRPr="000500CE">
        <w:rPr>
          <w:i/>
          <w:sz w:val="20"/>
          <w:szCs w:val="20"/>
          <w:lang w:val="en-US"/>
        </w:rPr>
        <w:t xml:space="preserve">Transplant </w:t>
      </w:r>
      <w:r w:rsidRPr="000500CE">
        <w:rPr>
          <w:sz w:val="20"/>
          <w:szCs w:val="20"/>
          <w:lang w:val="en-US"/>
        </w:rPr>
        <w:t xml:space="preserve"> 6</w:t>
      </w:r>
      <w:proofErr w:type="gramEnd"/>
      <w:r w:rsidRPr="000500CE">
        <w:rPr>
          <w:sz w:val="20"/>
          <w:szCs w:val="20"/>
          <w:lang w:val="en-US"/>
        </w:rPr>
        <w:t>: 2356-2364, 2006.</w:t>
      </w:r>
    </w:p>
    <w:p w:rsidR="00FC0CB8" w:rsidRDefault="00FC0CB8" w:rsidP="00B63D41">
      <w:pPr>
        <w:pStyle w:val="desc"/>
        <w:spacing w:before="0" w:beforeAutospacing="0" w:after="0" w:afterAutospacing="0"/>
        <w:jc w:val="both"/>
        <w:rPr>
          <w:sz w:val="20"/>
          <w:lang w:val="en-US"/>
        </w:rPr>
      </w:pPr>
    </w:p>
    <w:p w:rsidR="00FC0CB8" w:rsidRPr="00B63D41" w:rsidRDefault="00FC0CB8" w:rsidP="00B63D41">
      <w:pPr>
        <w:pStyle w:val="desc"/>
        <w:spacing w:before="0" w:beforeAutospacing="0" w:after="0" w:afterAutospacing="0"/>
        <w:jc w:val="both"/>
        <w:rPr>
          <w:sz w:val="20"/>
          <w:szCs w:val="20"/>
          <w:lang w:val="en-US"/>
        </w:rPr>
      </w:pPr>
      <w:r w:rsidRPr="00B63D41">
        <w:rPr>
          <w:sz w:val="20"/>
          <w:szCs w:val="20"/>
          <w:lang w:val="en-US"/>
        </w:rPr>
        <w:t>21. Mattes FM, Vargas A, Kopycinski J</w:t>
      </w:r>
      <w:r w:rsidRPr="00B63D41">
        <w:rPr>
          <w:i/>
          <w:sz w:val="20"/>
          <w:szCs w:val="20"/>
          <w:lang w:val="en-US"/>
        </w:rPr>
        <w:t xml:space="preserve">, </w:t>
      </w:r>
      <w:r w:rsidRPr="00B63D41">
        <w:rPr>
          <w:sz w:val="20"/>
          <w:szCs w:val="20"/>
        </w:rPr>
        <w:t xml:space="preserve">Hainsworth EG, Sweny P, Nebbia G, Bazeos A, Lowdell M, Klenerman P, Phillips RE, Griffiths PD, Emery VC. </w:t>
      </w:r>
      <w:r w:rsidRPr="00B63D41">
        <w:rPr>
          <w:sz w:val="20"/>
          <w:szCs w:val="20"/>
          <w:lang w:val="en-US"/>
        </w:rPr>
        <w:t xml:space="preserve">Functional impairment of cytomegalovirus specific CD8 T cells predicts high-level replication after renal transplantation. </w:t>
      </w:r>
      <w:proofErr w:type="gramStart"/>
      <w:r w:rsidRPr="00B63D41">
        <w:rPr>
          <w:i/>
          <w:sz w:val="20"/>
          <w:szCs w:val="20"/>
          <w:lang w:val="en-US"/>
        </w:rPr>
        <w:t>Am</w:t>
      </w:r>
      <w:proofErr w:type="gramEnd"/>
      <w:r w:rsidRPr="00B63D41">
        <w:rPr>
          <w:i/>
          <w:sz w:val="20"/>
          <w:szCs w:val="20"/>
          <w:lang w:val="en-US"/>
        </w:rPr>
        <w:t xml:space="preserve"> J Transplant</w:t>
      </w:r>
      <w:r w:rsidRPr="00B63D41">
        <w:rPr>
          <w:sz w:val="20"/>
          <w:szCs w:val="20"/>
          <w:lang w:val="en-US"/>
        </w:rPr>
        <w:t xml:space="preserve"> 8: 990-999, 2008.</w:t>
      </w:r>
    </w:p>
    <w:p w:rsidR="00FC0CB8" w:rsidRPr="002848BB" w:rsidRDefault="00FC0CB8" w:rsidP="002848BB">
      <w:pPr>
        <w:pStyle w:val="Zkladntext"/>
        <w:spacing w:line="100" w:lineRule="atLeast"/>
        <w:jc w:val="both"/>
        <w:rPr>
          <w:sz w:val="20"/>
          <w:lang w:val="en-US"/>
        </w:rPr>
      </w:pPr>
    </w:p>
    <w:p w:rsidR="00FC0CB8" w:rsidRPr="002848BB" w:rsidRDefault="00FC0CB8" w:rsidP="002848BB">
      <w:pPr>
        <w:pStyle w:val="Zkladntext"/>
        <w:spacing w:line="100" w:lineRule="atLeast"/>
        <w:jc w:val="both"/>
        <w:rPr>
          <w:sz w:val="20"/>
          <w:lang w:val="en-US"/>
        </w:rPr>
      </w:pPr>
      <w:r w:rsidRPr="002848BB">
        <w:rPr>
          <w:sz w:val="20"/>
          <w:lang w:val="en-US"/>
        </w:rPr>
        <w:t xml:space="preserve">22. Tu W, Potena L, Stepick-Biek P, </w:t>
      </w:r>
      <w:r w:rsidRPr="002848BB">
        <w:rPr>
          <w:sz w:val="20"/>
        </w:rPr>
        <w:t>Liu L, Dionis KY, Luikart H, Fearon WF, Holmes TH, Chin C, Cooke JP, Valantine HA, Mocarski ES, Lewis DB</w:t>
      </w:r>
      <w:r w:rsidRPr="002848BB">
        <w:rPr>
          <w:i/>
          <w:sz w:val="20"/>
          <w:lang w:val="en-US"/>
        </w:rPr>
        <w:t>.</w:t>
      </w:r>
      <w:r w:rsidRPr="002848BB">
        <w:rPr>
          <w:sz w:val="20"/>
          <w:lang w:val="en-US"/>
        </w:rPr>
        <w:t xml:space="preserve"> T-cell immunity to subclinical cytomegalovirus infection reduces cardiac allograft disease. </w:t>
      </w:r>
      <w:r w:rsidRPr="002848BB">
        <w:rPr>
          <w:i/>
          <w:sz w:val="20"/>
          <w:lang w:val="en-US"/>
        </w:rPr>
        <w:t>Circulation</w:t>
      </w:r>
      <w:r w:rsidRPr="002848BB">
        <w:rPr>
          <w:sz w:val="20"/>
          <w:lang w:val="en-US"/>
        </w:rPr>
        <w:t xml:space="preserve"> 114: 1608-1615, 2006.</w:t>
      </w:r>
    </w:p>
    <w:p w:rsidR="00FC0CB8" w:rsidRPr="002848BB" w:rsidRDefault="00FC0CB8" w:rsidP="002848BB">
      <w:pPr>
        <w:pStyle w:val="Zkladntext"/>
        <w:spacing w:line="100" w:lineRule="atLeast"/>
        <w:jc w:val="both"/>
        <w:rPr>
          <w:sz w:val="20"/>
          <w:lang w:val="en-US"/>
        </w:rPr>
      </w:pPr>
    </w:p>
    <w:p w:rsidR="00FC0CB8" w:rsidRPr="002848BB" w:rsidRDefault="00FC0CB8" w:rsidP="002848BB">
      <w:pPr>
        <w:pStyle w:val="desc"/>
        <w:spacing w:before="0" w:beforeAutospacing="0" w:after="0" w:afterAutospacing="0"/>
        <w:jc w:val="both"/>
        <w:rPr>
          <w:sz w:val="20"/>
          <w:szCs w:val="20"/>
          <w:lang w:val="en-US"/>
        </w:rPr>
      </w:pPr>
      <w:r w:rsidRPr="002848BB">
        <w:rPr>
          <w:sz w:val="20"/>
          <w:szCs w:val="20"/>
          <w:lang w:val="en-US"/>
        </w:rPr>
        <w:t xml:space="preserve">23. Nickel P, Bold G, Presber F, </w:t>
      </w:r>
      <w:r w:rsidRPr="002848BB">
        <w:rPr>
          <w:sz w:val="20"/>
          <w:szCs w:val="20"/>
        </w:rPr>
        <w:t>Biti D, Babel N, Kreutzer S, Pratschke J, Schönemann C, Kern F, Volk HD, Reinke P</w:t>
      </w:r>
      <w:r w:rsidRPr="002848BB">
        <w:rPr>
          <w:i/>
          <w:sz w:val="20"/>
          <w:szCs w:val="20"/>
          <w:lang w:val="en-US"/>
        </w:rPr>
        <w:t>.</w:t>
      </w:r>
      <w:r w:rsidRPr="002848BB">
        <w:rPr>
          <w:sz w:val="20"/>
          <w:szCs w:val="20"/>
          <w:lang w:val="en-US"/>
        </w:rPr>
        <w:t xml:space="preserve"> High levels of CMV-IE-1-specific memory T cells are associated with less alloimmunity and improved renal allograft function. </w:t>
      </w:r>
      <w:r w:rsidRPr="002848BB">
        <w:rPr>
          <w:i/>
          <w:sz w:val="20"/>
          <w:szCs w:val="20"/>
          <w:lang w:val="en-US"/>
        </w:rPr>
        <w:t>Transpl Immunol</w:t>
      </w:r>
      <w:r w:rsidRPr="002848BB">
        <w:rPr>
          <w:sz w:val="20"/>
          <w:szCs w:val="20"/>
          <w:lang w:val="en-US"/>
        </w:rPr>
        <w:t>, 20: 238-242, 2009.</w:t>
      </w:r>
    </w:p>
    <w:p w:rsidR="00FC0CB8" w:rsidRPr="002848BB" w:rsidRDefault="00FC0CB8" w:rsidP="002848BB">
      <w:pPr>
        <w:pStyle w:val="desc"/>
        <w:spacing w:before="0" w:beforeAutospacing="0" w:after="0" w:afterAutospacing="0"/>
        <w:jc w:val="both"/>
        <w:rPr>
          <w:sz w:val="20"/>
          <w:szCs w:val="20"/>
          <w:lang w:val="en-US"/>
        </w:rPr>
      </w:pPr>
    </w:p>
    <w:p w:rsidR="00FC0CB8" w:rsidRPr="002848BB" w:rsidRDefault="00FC0CB8" w:rsidP="002848BB">
      <w:pPr>
        <w:pStyle w:val="Zkladntext"/>
        <w:spacing w:line="100" w:lineRule="atLeast"/>
        <w:jc w:val="both"/>
        <w:rPr>
          <w:sz w:val="20"/>
          <w:lang w:val="en-US"/>
        </w:rPr>
      </w:pPr>
      <w:r w:rsidRPr="002848BB">
        <w:rPr>
          <w:sz w:val="20"/>
          <w:lang w:val="en-US"/>
        </w:rPr>
        <w:t xml:space="preserve">24. Abate D, Saldan A, Fiscon M, </w:t>
      </w:r>
      <w:r w:rsidRPr="002848BB">
        <w:rPr>
          <w:sz w:val="20"/>
        </w:rPr>
        <w:t>Cofano S, Paciolla A, Furian L, Ekser B, Biasolo MA, Cusinato R, Mengoli C, Bonfante L, Rossi B, Rigotti P, Sgarabotto D, Barzon L, Palù G</w:t>
      </w:r>
      <w:r w:rsidRPr="002848BB">
        <w:rPr>
          <w:i/>
          <w:sz w:val="20"/>
          <w:lang w:val="en-US"/>
        </w:rPr>
        <w:t>.</w:t>
      </w:r>
      <w:r w:rsidRPr="002848BB">
        <w:rPr>
          <w:sz w:val="20"/>
          <w:lang w:val="en-US"/>
        </w:rPr>
        <w:t xml:space="preserve"> Evaluation of cytomegalovirus (CMV)-specific T cell immune reconstitution revealed that baseline antiviral immunity, prophylaxis, or preemptive therapy but not antithymocyte globulin treatment contribute to CMV-specific T cell reconstitution in kidney transplant recipients. </w:t>
      </w:r>
      <w:r w:rsidRPr="002848BB">
        <w:rPr>
          <w:i/>
          <w:sz w:val="20"/>
          <w:lang w:val="en-US"/>
        </w:rPr>
        <w:t>J Infect Dis</w:t>
      </w:r>
      <w:r w:rsidRPr="002848BB">
        <w:rPr>
          <w:sz w:val="20"/>
          <w:lang w:val="en-US"/>
        </w:rPr>
        <w:t xml:space="preserve"> 202: 585-594, 2010.</w:t>
      </w:r>
    </w:p>
    <w:p w:rsidR="00FC0CB8" w:rsidRDefault="00FC0CB8" w:rsidP="002848BB">
      <w:pPr>
        <w:pStyle w:val="Zkladntext"/>
        <w:spacing w:line="100" w:lineRule="atLeast"/>
        <w:jc w:val="both"/>
        <w:rPr>
          <w:sz w:val="20"/>
          <w:lang w:val="en-US"/>
        </w:rPr>
      </w:pPr>
    </w:p>
    <w:p w:rsidR="00FC0CB8" w:rsidRPr="002848BB" w:rsidRDefault="00FC0CB8" w:rsidP="002848BB">
      <w:pPr>
        <w:pStyle w:val="Zkladntext"/>
        <w:spacing w:line="100" w:lineRule="atLeast"/>
        <w:jc w:val="both"/>
        <w:rPr>
          <w:sz w:val="20"/>
          <w:lang w:val="de-DE"/>
        </w:rPr>
      </w:pPr>
      <w:r w:rsidRPr="002848BB">
        <w:rPr>
          <w:sz w:val="20"/>
          <w:lang w:val="en-US"/>
        </w:rPr>
        <w:t xml:space="preserve">25. Kumar D, Chernenko S, Moussa G, </w:t>
      </w:r>
      <w:r w:rsidRPr="002848BB">
        <w:rPr>
          <w:sz w:val="20"/>
        </w:rPr>
        <w:t>Cobos I, Manuel O, Preiksaitis J, Venkataraman S, Humar A</w:t>
      </w:r>
      <w:r w:rsidRPr="002848BB">
        <w:rPr>
          <w:i/>
          <w:sz w:val="20"/>
          <w:lang w:val="en-US"/>
        </w:rPr>
        <w:t>.</w:t>
      </w:r>
      <w:r w:rsidRPr="002848BB">
        <w:rPr>
          <w:sz w:val="20"/>
          <w:lang w:val="en-US"/>
        </w:rPr>
        <w:t xml:space="preserve"> Cell-mediated immunity to predict cytomegalovirus disease in high-risk solid organ transplant recipients. </w:t>
      </w:r>
      <w:r w:rsidRPr="002848BB">
        <w:rPr>
          <w:i/>
          <w:sz w:val="20"/>
          <w:lang w:val="de-DE"/>
        </w:rPr>
        <w:t>Am J Transplant</w:t>
      </w:r>
      <w:r w:rsidRPr="002848BB">
        <w:rPr>
          <w:sz w:val="20"/>
          <w:lang w:val="de-DE"/>
        </w:rPr>
        <w:t xml:space="preserve"> 9: 1214-1222, 2009.</w:t>
      </w:r>
    </w:p>
    <w:p w:rsidR="00FC0CB8" w:rsidRPr="002848BB" w:rsidRDefault="00FC0CB8" w:rsidP="002848BB">
      <w:pPr>
        <w:pStyle w:val="Zkladntext"/>
        <w:spacing w:line="100" w:lineRule="atLeast"/>
        <w:jc w:val="both"/>
        <w:rPr>
          <w:sz w:val="20"/>
          <w:lang w:val="en-US"/>
        </w:rPr>
      </w:pPr>
    </w:p>
    <w:p w:rsidR="00FC0CB8" w:rsidRPr="002848BB" w:rsidRDefault="00FC0CB8" w:rsidP="002848BB">
      <w:pPr>
        <w:pStyle w:val="Zkladntext"/>
        <w:spacing w:line="100" w:lineRule="atLeast"/>
        <w:jc w:val="both"/>
        <w:rPr>
          <w:sz w:val="20"/>
          <w:lang w:val="en-US"/>
        </w:rPr>
      </w:pPr>
      <w:r>
        <w:rPr>
          <w:sz w:val="20"/>
          <w:lang w:val="en-US"/>
        </w:rPr>
        <w:t xml:space="preserve">26. </w:t>
      </w:r>
      <w:r w:rsidRPr="002848BB">
        <w:rPr>
          <w:sz w:val="20"/>
          <w:lang w:val="en-US"/>
        </w:rPr>
        <w:t xml:space="preserve">Benmarzouk-Hidalgo OJ, Cisneros JM, Cordero E, </w:t>
      </w:r>
      <w:r w:rsidRPr="002848BB">
        <w:rPr>
          <w:sz w:val="20"/>
        </w:rPr>
        <w:t>Martín-Peña A, Sanchez B, Martin-Gandul C, Gentil MA, Gomez-Bravo MA, Lage E, Perez-Romero P</w:t>
      </w:r>
      <w:r w:rsidRPr="002848BB">
        <w:rPr>
          <w:i/>
          <w:sz w:val="20"/>
          <w:lang w:val="en-US"/>
        </w:rPr>
        <w:t>.</w:t>
      </w:r>
      <w:r w:rsidRPr="002848BB">
        <w:rPr>
          <w:sz w:val="20"/>
          <w:lang w:val="en-US"/>
        </w:rPr>
        <w:t xml:space="preserve"> Therapeutic effect of the acquisition of cytomegalovirus-specific immune response during preemptive treatment. </w:t>
      </w:r>
      <w:r w:rsidRPr="002848BB">
        <w:rPr>
          <w:i/>
          <w:sz w:val="20"/>
          <w:lang w:val="en-US"/>
        </w:rPr>
        <w:t>Transplantation</w:t>
      </w:r>
      <w:r w:rsidRPr="002848BB">
        <w:rPr>
          <w:sz w:val="20"/>
          <w:lang w:val="en-US"/>
        </w:rPr>
        <w:t xml:space="preserve"> 91: 927-933, 2011.</w:t>
      </w:r>
    </w:p>
    <w:p w:rsidR="00FC0CB8" w:rsidRPr="002848BB" w:rsidRDefault="00FC0CB8" w:rsidP="00B63D41">
      <w:pPr>
        <w:pStyle w:val="desc"/>
        <w:spacing w:before="0" w:beforeAutospacing="0" w:after="0" w:afterAutospacing="0"/>
        <w:jc w:val="both"/>
        <w:rPr>
          <w:sz w:val="20"/>
          <w:szCs w:val="20"/>
          <w:lang w:val="en-US"/>
        </w:rPr>
      </w:pPr>
    </w:p>
    <w:p w:rsidR="00FC0CB8" w:rsidRDefault="00FC0CB8" w:rsidP="00B63D41">
      <w:pPr>
        <w:pStyle w:val="desc"/>
        <w:spacing w:before="0" w:beforeAutospacing="0" w:after="0" w:afterAutospacing="0"/>
        <w:jc w:val="both"/>
        <w:rPr>
          <w:sz w:val="20"/>
          <w:szCs w:val="20"/>
          <w:lang w:val="en-US"/>
        </w:rPr>
      </w:pPr>
      <w:r w:rsidRPr="002848BB">
        <w:rPr>
          <w:sz w:val="20"/>
          <w:szCs w:val="20"/>
          <w:lang w:val="en-US"/>
        </w:rPr>
        <w:t xml:space="preserve">27. Reischig T, Prucha M, Sedlackova L, </w:t>
      </w:r>
      <w:r w:rsidRPr="002848BB">
        <w:rPr>
          <w:sz w:val="20"/>
          <w:szCs w:val="20"/>
        </w:rPr>
        <w:t>Lysak D, Jindra P, Bouda M, Matejovic M</w:t>
      </w:r>
      <w:r w:rsidRPr="002848BB">
        <w:rPr>
          <w:i/>
          <w:sz w:val="20"/>
          <w:szCs w:val="20"/>
          <w:lang w:val="en-US"/>
        </w:rPr>
        <w:t>.</w:t>
      </w:r>
      <w:r w:rsidRPr="002848BB">
        <w:rPr>
          <w:sz w:val="20"/>
          <w:szCs w:val="20"/>
          <w:lang w:val="en-US"/>
        </w:rPr>
        <w:t xml:space="preserve"> Valganciclovir prophylaxis against cytomegalovirus impairs lymphocyte proliferation and activation in renal transplant recipients. </w:t>
      </w:r>
      <w:r w:rsidRPr="002848BB">
        <w:rPr>
          <w:i/>
          <w:sz w:val="20"/>
          <w:szCs w:val="20"/>
          <w:lang w:val="en-US"/>
        </w:rPr>
        <w:t>Antivir Ther</w:t>
      </w:r>
      <w:r w:rsidRPr="002848BB">
        <w:rPr>
          <w:sz w:val="20"/>
          <w:szCs w:val="20"/>
          <w:lang w:val="en-US"/>
        </w:rPr>
        <w:t xml:space="preserve"> 16: 1227-1235, 2011.</w:t>
      </w:r>
    </w:p>
    <w:p w:rsidR="00FC0CB8" w:rsidRDefault="00FC0CB8" w:rsidP="00B63D41">
      <w:pPr>
        <w:pStyle w:val="desc"/>
        <w:spacing w:before="0" w:beforeAutospacing="0" w:after="0" w:afterAutospacing="0"/>
        <w:jc w:val="both"/>
        <w:rPr>
          <w:sz w:val="20"/>
          <w:szCs w:val="20"/>
          <w:lang w:val="en-US"/>
        </w:rPr>
      </w:pPr>
    </w:p>
    <w:p w:rsidR="00FC0CB8" w:rsidRPr="00213050" w:rsidRDefault="00FC0CB8" w:rsidP="00F538B5">
      <w:pPr>
        <w:jc w:val="both"/>
        <w:rPr>
          <w:szCs w:val="24"/>
          <w:lang w:val="en-US"/>
        </w:rPr>
      </w:pPr>
      <w:r>
        <w:rPr>
          <w:szCs w:val="24"/>
          <w:lang w:val="en-US"/>
        </w:rPr>
        <w:t xml:space="preserve">28. </w:t>
      </w:r>
      <w:r w:rsidRPr="00213050">
        <w:rPr>
          <w:szCs w:val="24"/>
          <w:lang w:val="en-US"/>
        </w:rPr>
        <w:t xml:space="preserve">Spinner ML, Saab G, Casabar E, Bowman LJ, Storch GA, Brennan DC: Impact of prophylactic versus preemptive valganciclovir on long-term renal allograft outcomes. </w:t>
      </w:r>
      <w:r w:rsidRPr="00213050">
        <w:rPr>
          <w:i/>
          <w:szCs w:val="24"/>
          <w:lang w:val="en-US"/>
        </w:rPr>
        <w:t>Transplantation</w:t>
      </w:r>
      <w:r w:rsidRPr="00213050">
        <w:rPr>
          <w:szCs w:val="24"/>
          <w:lang w:val="en-US"/>
        </w:rPr>
        <w:t xml:space="preserve"> 90: 412-8, 2010.</w:t>
      </w:r>
    </w:p>
    <w:p w:rsidR="00FC0CB8" w:rsidRDefault="00FC0CB8" w:rsidP="00B63D41">
      <w:pPr>
        <w:pStyle w:val="desc"/>
        <w:spacing w:before="0" w:beforeAutospacing="0" w:after="0" w:afterAutospacing="0"/>
        <w:jc w:val="both"/>
        <w:rPr>
          <w:sz w:val="20"/>
          <w:szCs w:val="20"/>
          <w:lang w:val="en-US"/>
        </w:rPr>
      </w:pPr>
    </w:p>
    <w:p w:rsidR="00FC0CB8" w:rsidRPr="00E32371" w:rsidRDefault="00FC0CB8" w:rsidP="00E32371">
      <w:pPr>
        <w:pStyle w:val="desc"/>
        <w:spacing w:before="0" w:beforeAutospacing="0" w:after="0" w:afterAutospacing="0"/>
        <w:jc w:val="both"/>
        <w:rPr>
          <w:sz w:val="20"/>
          <w:szCs w:val="20"/>
        </w:rPr>
      </w:pPr>
      <w:r w:rsidRPr="00E32371">
        <w:rPr>
          <w:sz w:val="20"/>
          <w:szCs w:val="20"/>
          <w:lang w:val="en-US"/>
        </w:rPr>
        <w:t xml:space="preserve">29. Reischig T, Nemcova J, Vanecek T, </w:t>
      </w:r>
      <w:r w:rsidRPr="00E32371">
        <w:rPr>
          <w:sz w:val="20"/>
          <w:szCs w:val="20"/>
        </w:rPr>
        <w:t>Jindra P, Hes O, Bouda M, Treska V.</w:t>
      </w:r>
      <w:r w:rsidRPr="00E32371">
        <w:rPr>
          <w:sz w:val="20"/>
          <w:szCs w:val="20"/>
          <w:lang w:val="en-US"/>
        </w:rPr>
        <w:t xml:space="preserve"> Intragraft cytomegalovirus infection: a randomized trial of valacyclovir prophylaxis versus pre-emptive therapy in renal transplant recipients. </w:t>
      </w:r>
      <w:r w:rsidRPr="00E32371">
        <w:rPr>
          <w:i/>
          <w:sz w:val="20"/>
          <w:szCs w:val="20"/>
          <w:lang w:val="de-DE"/>
        </w:rPr>
        <w:t>Antivir Ther</w:t>
      </w:r>
      <w:r w:rsidRPr="00E32371">
        <w:rPr>
          <w:sz w:val="20"/>
          <w:szCs w:val="20"/>
          <w:lang w:val="de-DE"/>
        </w:rPr>
        <w:t xml:space="preserve"> 15: 23-30, 2010.</w:t>
      </w:r>
    </w:p>
    <w:p w:rsidR="00FC0CB8" w:rsidRPr="00B63D41" w:rsidRDefault="00FC0CB8" w:rsidP="00B63D41">
      <w:pPr>
        <w:pStyle w:val="desc"/>
        <w:spacing w:before="0" w:beforeAutospacing="0" w:after="0" w:afterAutospacing="0"/>
        <w:rPr>
          <w:sz w:val="20"/>
          <w:szCs w:val="20"/>
          <w:lang w:val="en-US"/>
        </w:rPr>
      </w:pPr>
    </w:p>
    <w:p w:rsidR="00FC0CB8" w:rsidRPr="00DD41EF" w:rsidRDefault="00FC0CB8" w:rsidP="00C325FB">
      <w:pPr>
        <w:spacing w:line="360" w:lineRule="auto"/>
        <w:jc w:val="both"/>
        <w:rPr>
          <w:lang w:val="en-US"/>
        </w:rPr>
      </w:pPr>
    </w:p>
    <w:p w:rsidR="00FC0CB8" w:rsidRPr="00DD41EF" w:rsidRDefault="00FC0CB8" w:rsidP="00C325FB">
      <w:pPr>
        <w:spacing w:line="360" w:lineRule="auto"/>
        <w:jc w:val="both"/>
        <w:rPr>
          <w:lang w:val="en-US"/>
        </w:rPr>
      </w:pPr>
    </w:p>
    <w:p w:rsidR="00FC0CB8" w:rsidRDefault="00FC0CB8" w:rsidP="00C325FB">
      <w:pPr>
        <w:spacing w:line="360" w:lineRule="auto"/>
        <w:jc w:val="both"/>
        <w:rPr>
          <w:rFonts w:ascii="Calibri" w:hAnsi="Calibri" w:cs="Calibri"/>
          <w:b/>
          <w:sz w:val="24"/>
          <w:szCs w:val="24"/>
          <w:lang w:val="en-US"/>
        </w:rPr>
      </w:pPr>
      <w:r w:rsidRPr="00DD41EF">
        <w:rPr>
          <w:b/>
          <w:smallCaps/>
          <w:sz w:val="32"/>
          <w:lang w:val="en-US"/>
        </w:rPr>
        <w:br w:type="page"/>
      </w:r>
      <w:r w:rsidRPr="00B30BB8">
        <w:rPr>
          <w:rFonts w:ascii="Calibri" w:hAnsi="Calibri" w:cs="Calibri"/>
          <w:b/>
          <w:sz w:val="24"/>
          <w:szCs w:val="24"/>
          <w:lang w:val="en-US"/>
        </w:rPr>
        <w:lastRenderedPageBreak/>
        <w:t>Aim</w:t>
      </w:r>
    </w:p>
    <w:p w:rsidR="00FC0CB8" w:rsidRDefault="00FC0CB8" w:rsidP="00C325FB">
      <w:pPr>
        <w:spacing w:line="360" w:lineRule="auto"/>
        <w:jc w:val="both"/>
        <w:rPr>
          <w:rFonts w:ascii="Calibri" w:hAnsi="Calibri" w:cs="Calibri"/>
          <w:sz w:val="24"/>
          <w:szCs w:val="24"/>
          <w:lang w:val="en-US"/>
        </w:rPr>
      </w:pPr>
      <w:r w:rsidRPr="00B30BB8">
        <w:rPr>
          <w:rFonts w:ascii="Calibri" w:hAnsi="Calibri" w:cs="Calibri"/>
          <w:sz w:val="24"/>
          <w:szCs w:val="24"/>
          <w:lang w:val="en-US"/>
        </w:rPr>
        <w:t>The aim of the study is to compare the efficacy, safety and cost of CMV prophylaxis by val</w:t>
      </w:r>
      <w:r>
        <w:rPr>
          <w:rFonts w:ascii="Calibri" w:hAnsi="Calibri" w:cs="Calibri"/>
          <w:sz w:val="24"/>
          <w:szCs w:val="24"/>
          <w:lang w:val="en-US"/>
        </w:rPr>
        <w:t>ganciclovir</w:t>
      </w:r>
      <w:r w:rsidRPr="00B30BB8">
        <w:rPr>
          <w:rFonts w:ascii="Calibri" w:hAnsi="Calibri" w:cs="Calibri"/>
          <w:sz w:val="24"/>
          <w:szCs w:val="24"/>
          <w:lang w:val="en-US"/>
        </w:rPr>
        <w:t xml:space="preserve"> and preemptive valganciclovir therapy with the inclusion of long-term follow up for comparison of CMV indirect effects</w:t>
      </w:r>
      <w:r>
        <w:rPr>
          <w:rFonts w:ascii="Calibri" w:hAnsi="Calibri" w:cs="Calibri"/>
          <w:sz w:val="24"/>
          <w:szCs w:val="24"/>
          <w:lang w:val="en-US"/>
        </w:rPr>
        <w:t xml:space="preserve"> and alloimmune response</w:t>
      </w:r>
      <w:r w:rsidRPr="00B30BB8">
        <w:rPr>
          <w:rFonts w:ascii="Calibri" w:hAnsi="Calibri" w:cs="Calibri"/>
          <w:sz w:val="24"/>
          <w:szCs w:val="24"/>
          <w:lang w:val="en-US"/>
        </w:rPr>
        <w:t>.</w:t>
      </w:r>
    </w:p>
    <w:p w:rsidR="00FC0CB8" w:rsidRDefault="00FC0CB8" w:rsidP="00C325FB">
      <w:pPr>
        <w:spacing w:line="360" w:lineRule="auto"/>
        <w:jc w:val="both"/>
        <w:rPr>
          <w:rFonts w:ascii="Calibri" w:hAnsi="Calibri" w:cs="Calibri"/>
          <w:sz w:val="24"/>
          <w:szCs w:val="24"/>
          <w:lang w:val="en-US"/>
        </w:rPr>
      </w:pPr>
    </w:p>
    <w:p w:rsidR="00FC0CB8" w:rsidRDefault="00FC0CB8" w:rsidP="00C325FB">
      <w:pPr>
        <w:spacing w:line="360" w:lineRule="auto"/>
        <w:jc w:val="both"/>
        <w:rPr>
          <w:rFonts w:ascii="Calibri" w:hAnsi="Calibri" w:cs="Calibri"/>
          <w:b/>
          <w:sz w:val="24"/>
          <w:szCs w:val="24"/>
          <w:lang w:val="en-US"/>
        </w:rPr>
      </w:pPr>
      <w:r w:rsidRPr="009F0A72">
        <w:rPr>
          <w:rFonts w:ascii="Calibri" w:hAnsi="Calibri" w:cs="Calibri"/>
          <w:b/>
          <w:sz w:val="24"/>
          <w:szCs w:val="24"/>
          <w:lang w:val="en-US"/>
        </w:rPr>
        <w:t>Study design</w:t>
      </w:r>
    </w:p>
    <w:p w:rsidR="00FC0CB8" w:rsidRPr="009F0A72" w:rsidRDefault="00FC0CB8" w:rsidP="00C325FB">
      <w:pPr>
        <w:spacing w:line="360" w:lineRule="auto"/>
        <w:jc w:val="both"/>
        <w:rPr>
          <w:rFonts w:ascii="Calibri" w:hAnsi="Calibri" w:cs="Calibri"/>
          <w:sz w:val="24"/>
          <w:szCs w:val="24"/>
          <w:lang w:val="en-US"/>
        </w:rPr>
      </w:pPr>
      <w:r w:rsidRPr="009F0A72">
        <w:rPr>
          <w:rFonts w:ascii="Calibri" w:hAnsi="Calibri"/>
          <w:sz w:val="24"/>
          <w:lang w:val="en-US"/>
        </w:rPr>
        <w:t xml:space="preserve">Prospective, randomized, </w:t>
      </w:r>
      <w:r>
        <w:rPr>
          <w:rFonts w:ascii="Calibri" w:hAnsi="Calibri"/>
          <w:sz w:val="24"/>
          <w:lang w:val="en-US"/>
        </w:rPr>
        <w:t xml:space="preserve">controlled, </w:t>
      </w:r>
      <w:r w:rsidRPr="009F0A72">
        <w:rPr>
          <w:rFonts w:ascii="Calibri" w:hAnsi="Calibri"/>
          <w:sz w:val="24"/>
          <w:lang w:val="en-US"/>
        </w:rPr>
        <w:t>open-label, single-center, parallel study</w:t>
      </w:r>
    </w:p>
    <w:p w:rsidR="00FC0CB8" w:rsidRPr="00B30BB8" w:rsidRDefault="00FC0CB8" w:rsidP="00C325FB">
      <w:pPr>
        <w:spacing w:line="360" w:lineRule="auto"/>
        <w:jc w:val="both"/>
        <w:rPr>
          <w:rFonts w:ascii="Calibri" w:hAnsi="Calibri" w:cs="Calibri"/>
          <w:b/>
          <w:sz w:val="24"/>
          <w:szCs w:val="24"/>
          <w:lang w:val="en-US"/>
        </w:rPr>
      </w:pPr>
    </w:p>
    <w:p w:rsidR="00FC0CB8" w:rsidRDefault="00FC0CB8" w:rsidP="004A5462">
      <w:pPr>
        <w:spacing w:line="360" w:lineRule="auto"/>
        <w:jc w:val="both"/>
        <w:rPr>
          <w:rFonts w:ascii="Calibri" w:hAnsi="Calibri" w:cs="Calibri"/>
          <w:b/>
          <w:sz w:val="24"/>
          <w:szCs w:val="24"/>
          <w:lang w:val="en-US"/>
        </w:rPr>
      </w:pPr>
      <w:r w:rsidRPr="004A5462">
        <w:rPr>
          <w:rFonts w:ascii="Calibri" w:hAnsi="Calibri" w:cs="Calibri"/>
          <w:b/>
          <w:sz w:val="24"/>
          <w:szCs w:val="24"/>
          <w:lang w:val="en-US"/>
        </w:rPr>
        <w:t>Interventions</w:t>
      </w:r>
    </w:p>
    <w:p w:rsidR="00FC0CB8" w:rsidRPr="004A5462" w:rsidRDefault="00FC0CB8" w:rsidP="004A5462">
      <w:pPr>
        <w:spacing w:line="360" w:lineRule="auto"/>
        <w:jc w:val="both"/>
        <w:rPr>
          <w:rFonts w:ascii="Calibri" w:hAnsi="Calibri" w:cs="Calibri"/>
          <w:b/>
          <w:sz w:val="24"/>
          <w:szCs w:val="24"/>
          <w:lang w:val="en-US"/>
        </w:rPr>
      </w:pPr>
    </w:p>
    <w:p w:rsidR="00FC0CB8" w:rsidRPr="00300A21" w:rsidRDefault="00FC0CB8" w:rsidP="004A5462">
      <w:pPr>
        <w:pStyle w:val="Odstavecseseznamem"/>
        <w:numPr>
          <w:ilvl w:val="0"/>
          <w:numId w:val="5"/>
        </w:numPr>
        <w:spacing w:line="360" w:lineRule="auto"/>
        <w:jc w:val="both"/>
        <w:rPr>
          <w:rFonts w:ascii="Calibri" w:hAnsi="Calibri" w:cs="Calibri"/>
          <w:b/>
          <w:sz w:val="24"/>
          <w:szCs w:val="24"/>
          <w:lang w:val="en-US"/>
        </w:rPr>
      </w:pPr>
      <w:r w:rsidRPr="00300A21">
        <w:rPr>
          <w:rFonts w:ascii="Calibri" w:hAnsi="Calibri" w:cs="Calibri"/>
          <w:b/>
          <w:sz w:val="24"/>
          <w:szCs w:val="24"/>
          <w:lang w:val="en-US"/>
        </w:rPr>
        <w:t>Pre-emptive therapy</w:t>
      </w:r>
    </w:p>
    <w:p w:rsidR="00FC0CB8" w:rsidRPr="004A5462" w:rsidRDefault="00FC0CB8" w:rsidP="004A5462">
      <w:pPr>
        <w:pStyle w:val="Odstavecseseznamem"/>
        <w:spacing w:line="360" w:lineRule="auto"/>
        <w:jc w:val="both"/>
        <w:rPr>
          <w:rFonts w:ascii="Calibri" w:hAnsi="Calibri" w:cs="Calibri"/>
          <w:sz w:val="24"/>
          <w:lang w:val="en-US"/>
        </w:rPr>
      </w:pPr>
      <w:r w:rsidRPr="004A5462">
        <w:rPr>
          <w:rFonts w:ascii="Calibri" w:hAnsi="Calibri" w:cs="Calibri"/>
          <w:sz w:val="24"/>
          <w:lang w:val="en-US"/>
        </w:rPr>
        <w:t xml:space="preserve">Patients will be monitored using quantitative real-time PCR from whole blood for CMV DNAemia detection once a week for 16 weeks and, subsequently, at months 5, 6, </w:t>
      </w:r>
      <w:r>
        <w:rPr>
          <w:rFonts w:ascii="Calibri" w:hAnsi="Calibri" w:cs="Calibri"/>
          <w:sz w:val="24"/>
          <w:lang w:val="en-US"/>
        </w:rPr>
        <w:t xml:space="preserve">7, 8, </w:t>
      </w:r>
      <w:r w:rsidRPr="004A5462">
        <w:rPr>
          <w:rFonts w:ascii="Calibri" w:hAnsi="Calibri" w:cs="Calibri"/>
          <w:sz w:val="24"/>
          <w:lang w:val="en-US"/>
        </w:rPr>
        <w:t xml:space="preserve">9, </w:t>
      </w:r>
      <w:r>
        <w:rPr>
          <w:rFonts w:ascii="Calibri" w:hAnsi="Calibri" w:cs="Calibri"/>
          <w:sz w:val="24"/>
          <w:lang w:val="en-US"/>
        </w:rPr>
        <w:t xml:space="preserve">10, 11, </w:t>
      </w:r>
      <w:r w:rsidRPr="004A5462">
        <w:rPr>
          <w:rFonts w:ascii="Calibri" w:hAnsi="Calibri" w:cs="Calibri"/>
          <w:sz w:val="24"/>
          <w:lang w:val="en-US"/>
        </w:rPr>
        <w:t>12</w:t>
      </w:r>
      <w:r>
        <w:rPr>
          <w:rFonts w:ascii="Calibri" w:hAnsi="Calibri" w:cs="Calibri"/>
          <w:sz w:val="24"/>
          <w:lang w:val="en-US"/>
        </w:rPr>
        <w:t>, 15, 18, 21, and 24</w:t>
      </w:r>
      <w:r w:rsidRPr="004A5462">
        <w:rPr>
          <w:rFonts w:ascii="Calibri" w:hAnsi="Calibri" w:cs="Calibri"/>
          <w:sz w:val="24"/>
          <w:lang w:val="en-US"/>
        </w:rPr>
        <w:t>. PCR will be likewise performed at least once a week in cases with a positive previous test</w:t>
      </w:r>
      <w:r>
        <w:rPr>
          <w:rFonts w:ascii="Calibri" w:hAnsi="Calibri" w:cs="Calibri"/>
          <w:sz w:val="24"/>
          <w:lang w:val="en-US"/>
        </w:rPr>
        <w:t xml:space="preserve"> and during pre-emptive valganciclovir therapy</w:t>
      </w:r>
      <w:r w:rsidRPr="004A5462">
        <w:rPr>
          <w:rFonts w:ascii="Calibri" w:hAnsi="Calibri" w:cs="Calibri"/>
          <w:sz w:val="24"/>
          <w:lang w:val="en-US"/>
        </w:rPr>
        <w:t xml:space="preserve">. </w:t>
      </w:r>
      <w:r>
        <w:rPr>
          <w:rFonts w:ascii="Calibri" w:hAnsi="Calibri" w:cs="Calibri"/>
          <w:sz w:val="24"/>
          <w:lang w:val="en-US"/>
        </w:rPr>
        <w:t xml:space="preserve">In cases of antirejection therapy with lymphocyte depleting antibodies (antithymocyte globuline or rituximab) and/or treatment of antibody-medaited rejection (plasmapheresis, immunoadsorption, IVIG, bortezomib) a new weekly PCR monitoring will be started and continued for 1 month. </w:t>
      </w:r>
      <w:r w:rsidRPr="004A5462">
        <w:rPr>
          <w:rFonts w:ascii="Calibri" w:hAnsi="Calibri" w:cs="Calibri"/>
          <w:sz w:val="24"/>
          <w:lang w:val="en-US"/>
        </w:rPr>
        <w:t xml:space="preserve">At viral load </w:t>
      </w:r>
      <w:r w:rsidRPr="004A5462">
        <w:rPr>
          <w:rFonts w:ascii="Calibri" w:hAnsi="Calibri" w:cs="Calibri"/>
          <w:sz w:val="24"/>
          <w:szCs w:val="24"/>
          <w:lang w:val="en-US"/>
        </w:rPr>
        <w:sym w:font="Symbol" w:char="F0B3"/>
      </w:r>
      <w:r>
        <w:rPr>
          <w:rFonts w:ascii="Calibri" w:hAnsi="Calibri" w:cs="Calibri"/>
          <w:sz w:val="24"/>
          <w:lang w:val="en-US"/>
        </w:rPr>
        <w:t>1000 IU</w:t>
      </w:r>
      <w:r w:rsidRPr="004A5462">
        <w:rPr>
          <w:rFonts w:ascii="Calibri" w:hAnsi="Calibri" w:cs="Calibri"/>
          <w:sz w:val="24"/>
          <w:lang w:val="en-US"/>
        </w:rPr>
        <w:t xml:space="preserve">/mL, therapy with  valganciclovir (Valcyte; Hoffman-La Roche, Grenzach-Wyhlen, Germany) will be instituted at a dose of 900 mg twice daily </w:t>
      </w:r>
      <w:r>
        <w:rPr>
          <w:rFonts w:ascii="Calibri" w:hAnsi="Calibri" w:cs="Calibri"/>
          <w:sz w:val="24"/>
          <w:lang w:val="en-US"/>
        </w:rPr>
        <w:t xml:space="preserve">with food </w:t>
      </w:r>
      <w:r w:rsidRPr="004A5462">
        <w:rPr>
          <w:rFonts w:ascii="Calibri" w:hAnsi="Calibri" w:cs="Calibri"/>
          <w:sz w:val="24"/>
          <w:lang w:val="en-US"/>
        </w:rPr>
        <w:t>within 7 days at the latest and continued until reaching clearance of CMV DNAmia</w:t>
      </w:r>
      <w:r>
        <w:rPr>
          <w:rFonts w:ascii="Calibri" w:hAnsi="Calibri" w:cs="Calibri"/>
          <w:sz w:val="24"/>
          <w:lang w:val="en-US"/>
        </w:rPr>
        <w:t xml:space="preserve"> in 2 consecutive measurements</w:t>
      </w:r>
      <w:r w:rsidRPr="004A5462">
        <w:rPr>
          <w:rFonts w:ascii="Calibri" w:hAnsi="Calibri" w:cs="Calibri"/>
          <w:sz w:val="24"/>
          <w:lang w:val="en-US"/>
        </w:rPr>
        <w:t xml:space="preserve"> (</w:t>
      </w:r>
      <w:r>
        <w:rPr>
          <w:rFonts w:ascii="Calibri" w:hAnsi="Calibri" w:cs="Calibri"/>
          <w:sz w:val="24"/>
          <w:szCs w:val="24"/>
          <w:lang w:val="en-US"/>
        </w:rPr>
        <w:t>&lt;50 IU</w:t>
      </w:r>
      <w:r w:rsidRPr="004A5462">
        <w:rPr>
          <w:rFonts w:ascii="Calibri" w:hAnsi="Calibri" w:cs="Calibri"/>
          <w:sz w:val="24"/>
          <w:szCs w:val="24"/>
          <w:lang w:val="en-US"/>
        </w:rPr>
        <w:t xml:space="preserve">/mL, </w:t>
      </w:r>
      <w:r w:rsidRPr="004A5462">
        <w:rPr>
          <w:rFonts w:ascii="Calibri" w:hAnsi="Calibri" w:cs="Calibri"/>
          <w:sz w:val="24"/>
          <w:lang w:val="en-US"/>
        </w:rPr>
        <w:t>at least for 14 days). Doses will be tapered based on renal function according to manufacturers’ instructions (Appendix I).</w:t>
      </w:r>
      <w:r>
        <w:rPr>
          <w:rFonts w:ascii="Calibri" w:hAnsi="Calibri" w:cs="Calibri"/>
          <w:sz w:val="24"/>
          <w:lang w:val="en-US"/>
        </w:rPr>
        <w:t xml:space="preserve"> During periods without the possibility to administer oral drugs</w:t>
      </w:r>
      <w:r w:rsidRPr="000E40F4">
        <w:rPr>
          <w:rFonts w:ascii="Calibri" w:hAnsi="Calibri" w:cs="Calibri"/>
          <w:sz w:val="24"/>
          <w:lang w:val="en-US"/>
        </w:rPr>
        <w:t xml:space="preserve"> </w:t>
      </w:r>
      <w:r>
        <w:rPr>
          <w:rFonts w:ascii="Calibri" w:hAnsi="Calibri" w:cs="Calibri"/>
          <w:sz w:val="24"/>
          <w:lang w:val="en-US"/>
        </w:rPr>
        <w:t xml:space="preserve">therapy </w:t>
      </w:r>
      <w:r w:rsidR="009A2AD6">
        <w:rPr>
          <w:rFonts w:ascii="Calibri" w:hAnsi="Calibri" w:cs="Calibri"/>
          <w:sz w:val="24"/>
          <w:lang w:val="en-US"/>
        </w:rPr>
        <w:t xml:space="preserve">by </w:t>
      </w:r>
      <w:r w:rsidRPr="000E40F4">
        <w:rPr>
          <w:rFonts w:ascii="Calibri" w:hAnsi="Calibri" w:cs="Calibri"/>
          <w:sz w:val="24"/>
          <w:lang w:val="en-US"/>
        </w:rPr>
        <w:t>intravenous ganciclovir (Cymevene; Hoffman-La Roche, Basel, Switzerland)</w:t>
      </w:r>
      <w:r>
        <w:rPr>
          <w:rFonts w:ascii="Calibri" w:hAnsi="Calibri" w:cs="Calibri"/>
          <w:sz w:val="24"/>
          <w:lang w:val="en-US"/>
        </w:rPr>
        <w:t xml:space="preserve"> </w:t>
      </w:r>
      <w:r w:rsidRPr="000E40F4">
        <w:rPr>
          <w:rFonts w:ascii="Calibri" w:hAnsi="Calibri" w:cs="Calibri"/>
          <w:sz w:val="24"/>
          <w:lang w:val="en-US"/>
        </w:rPr>
        <w:t xml:space="preserve">at a dose of 5mg/kg every 12 hours with </w:t>
      </w:r>
      <w:r w:rsidRPr="00E14A7B">
        <w:rPr>
          <w:rFonts w:ascii="Calibri" w:hAnsi="Calibri" w:cs="Calibri"/>
          <w:sz w:val="24"/>
          <w:lang w:val="en-US"/>
        </w:rPr>
        <w:t>dose adjustments by renal function (Appendix III)</w:t>
      </w:r>
      <w:r>
        <w:rPr>
          <w:rFonts w:ascii="Calibri" w:hAnsi="Calibri" w:cs="Calibri"/>
          <w:sz w:val="24"/>
          <w:lang w:val="en-US"/>
        </w:rPr>
        <w:t xml:space="preserve"> is allowed. Asymptomatic episodes of CMV viremia (of any level) after Month 12 in pre-emptive group will not be treated.</w:t>
      </w:r>
    </w:p>
    <w:p w:rsidR="00FC0CB8" w:rsidRPr="00300A21" w:rsidRDefault="00FC0CB8" w:rsidP="004A5462">
      <w:pPr>
        <w:pStyle w:val="Odstavecseseznamem"/>
        <w:numPr>
          <w:ilvl w:val="0"/>
          <w:numId w:val="5"/>
        </w:numPr>
        <w:spacing w:line="360" w:lineRule="auto"/>
        <w:jc w:val="both"/>
        <w:rPr>
          <w:rFonts w:ascii="Calibri" w:hAnsi="Calibri" w:cs="Calibri"/>
          <w:b/>
          <w:sz w:val="24"/>
          <w:szCs w:val="24"/>
          <w:lang w:val="en-US"/>
        </w:rPr>
      </w:pPr>
      <w:r w:rsidRPr="00300A21">
        <w:rPr>
          <w:rFonts w:ascii="Calibri" w:hAnsi="Calibri" w:cs="Calibri"/>
          <w:b/>
          <w:sz w:val="24"/>
          <w:lang w:val="en-US"/>
        </w:rPr>
        <w:t>Val</w:t>
      </w:r>
      <w:r>
        <w:rPr>
          <w:rFonts w:ascii="Calibri" w:hAnsi="Calibri" w:cs="Calibri"/>
          <w:b/>
          <w:sz w:val="24"/>
          <w:lang w:val="en-US"/>
        </w:rPr>
        <w:t>ganciclovir prophylaxis</w:t>
      </w:r>
    </w:p>
    <w:p w:rsidR="00FC0CB8" w:rsidRPr="004A5462" w:rsidRDefault="00FC0CB8" w:rsidP="004A5462">
      <w:pPr>
        <w:pStyle w:val="Odstavecseseznamem"/>
        <w:spacing w:line="360" w:lineRule="auto"/>
        <w:jc w:val="both"/>
        <w:rPr>
          <w:rFonts w:ascii="Calibri" w:hAnsi="Calibri" w:cs="Calibri"/>
          <w:sz w:val="24"/>
          <w:lang w:val="en-US"/>
        </w:rPr>
      </w:pPr>
      <w:r w:rsidRPr="004A5462">
        <w:rPr>
          <w:rFonts w:ascii="Calibri" w:hAnsi="Calibri" w:cs="Calibri"/>
          <w:sz w:val="24"/>
          <w:lang w:val="en-US"/>
        </w:rPr>
        <w:t>Pa</w:t>
      </w:r>
      <w:r>
        <w:rPr>
          <w:rFonts w:ascii="Calibri" w:hAnsi="Calibri" w:cs="Calibri"/>
          <w:sz w:val="24"/>
          <w:lang w:val="en-US"/>
        </w:rPr>
        <w:t>tients will receive valganciclovir (</w:t>
      </w:r>
      <w:r w:rsidRPr="004A5462">
        <w:rPr>
          <w:rFonts w:ascii="Calibri" w:hAnsi="Calibri" w:cs="Calibri"/>
          <w:sz w:val="24"/>
          <w:lang w:val="en-US"/>
        </w:rPr>
        <w:t>Valcyte; Hoffman-La Roche, Grenzach-Wyhlen, Germany</w:t>
      </w:r>
      <w:r>
        <w:rPr>
          <w:rFonts w:ascii="Calibri" w:hAnsi="Calibri" w:cs="Calibri"/>
          <w:sz w:val="24"/>
          <w:lang w:val="en-US"/>
        </w:rPr>
        <w:t>) at a dose of 900m</w:t>
      </w:r>
      <w:r w:rsidRPr="004A5462">
        <w:rPr>
          <w:rFonts w:ascii="Calibri" w:hAnsi="Calibri" w:cs="Calibri"/>
          <w:sz w:val="24"/>
          <w:lang w:val="en-US"/>
        </w:rPr>
        <w:t xml:space="preserve">g </w:t>
      </w:r>
      <w:r>
        <w:rPr>
          <w:rFonts w:ascii="Calibri" w:hAnsi="Calibri" w:cs="Calibri"/>
          <w:sz w:val="24"/>
          <w:lang w:val="en-US"/>
        </w:rPr>
        <w:t xml:space="preserve">once a day </w:t>
      </w:r>
      <w:r w:rsidRPr="004A5462">
        <w:rPr>
          <w:rFonts w:ascii="Calibri" w:hAnsi="Calibri" w:cs="Calibri"/>
          <w:sz w:val="24"/>
          <w:lang w:val="en-US"/>
        </w:rPr>
        <w:t xml:space="preserve">for 3 months </w:t>
      </w:r>
      <w:r>
        <w:rPr>
          <w:rFonts w:ascii="Calibri" w:hAnsi="Calibri" w:cs="Calibri"/>
          <w:sz w:val="24"/>
          <w:lang w:val="en-US"/>
        </w:rPr>
        <w:t xml:space="preserve">(D+/R+ and D-/R+ subgroups) </w:t>
      </w:r>
      <w:r>
        <w:rPr>
          <w:rFonts w:ascii="Calibri" w:hAnsi="Calibri" w:cs="Calibri"/>
          <w:sz w:val="24"/>
          <w:lang w:val="en-US"/>
        </w:rPr>
        <w:lastRenderedPageBreak/>
        <w:t xml:space="preserve">or for 6 months (D+/R- subgroup) </w:t>
      </w:r>
      <w:r w:rsidRPr="004A5462">
        <w:rPr>
          <w:rFonts w:ascii="Calibri" w:hAnsi="Calibri" w:cs="Calibri"/>
          <w:sz w:val="24"/>
          <w:lang w:val="en-US"/>
        </w:rPr>
        <w:t xml:space="preserve">with reduction depending on renal function (Appendix II). Administration </w:t>
      </w:r>
      <w:r>
        <w:rPr>
          <w:rFonts w:ascii="Calibri" w:hAnsi="Calibri" w:cs="Calibri"/>
          <w:sz w:val="24"/>
          <w:lang w:val="en-US"/>
        </w:rPr>
        <w:t xml:space="preserve">(with food) </w:t>
      </w:r>
      <w:r w:rsidRPr="004A5462">
        <w:rPr>
          <w:rFonts w:ascii="Calibri" w:hAnsi="Calibri" w:cs="Calibri"/>
          <w:sz w:val="24"/>
          <w:lang w:val="en-US"/>
        </w:rPr>
        <w:t>will be initiated within 7 days after transplantation.</w:t>
      </w:r>
      <w:r>
        <w:rPr>
          <w:rFonts w:ascii="Calibri" w:hAnsi="Calibri" w:cs="Calibri"/>
          <w:sz w:val="24"/>
          <w:lang w:val="en-US"/>
        </w:rPr>
        <w:t xml:space="preserve"> In cases of antirejection therapy with lymphocyte depleting antibodies (antithymocyte globuline or rituximab) and/or treatment of antibody-medaited rejection (plasmapheresis, immunoadsorption, IVIG, bortezomib) a new course of valganciclovir prophylaxis will be restarted and continued for 1 month. During periods without the possibility to administer oral drugs</w:t>
      </w:r>
      <w:r w:rsidRPr="000E40F4">
        <w:rPr>
          <w:rFonts w:ascii="Calibri" w:hAnsi="Calibri" w:cs="Calibri"/>
          <w:sz w:val="24"/>
          <w:lang w:val="en-US"/>
        </w:rPr>
        <w:t xml:space="preserve"> </w:t>
      </w:r>
      <w:r>
        <w:rPr>
          <w:rFonts w:ascii="Calibri" w:hAnsi="Calibri" w:cs="Calibri"/>
          <w:sz w:val="24"/>
          <w:lang w:val="en-US"/>
        </w:rPr>
        <w:t xml:space="preserve">therapy </w:t>
      </w:r>
      <w:r w:rsidRPr="000E40F4">
        <w:rPr>
          <w:rFonts w:ascii="Calibri" w:hAnsi="Calibri" w:cs="Calibri"/>
          <w:sz w:val="24"/>
          <w:lang w:val="en-US"/>
        </w:rPr>
        <w:t>by intravenous ganciclovir (Cymevene; Hoffman-La Roche, Basel, Switzerland)</w:t>
      </w:r>
      <w:r>
        <w:rPr>
          <w:rFonts w:ascii="Calibri" w:hAnsi="Calibri" w:cs="Calibri"/>
          <w:sz w:val="24"/>
          <w:lang w:val="en-US"/>
        </w:rPr>
        <w:t xml:space="preserve"> </w:t>
      </w:r>
      <w:r w:rsidRPr="000E40F4">
        <w:rPr>
          <w:rFonts w:ascii="Calibri" w:hAnsi="Calibri" w:cs="Calibri"/>
          <w:sz w:val="24"/>
          <w:lang w:val="en-US"/>
        </w:rPr>
        <w:t xml:space="preserve">at a dose of 5mg/kg </w:t>
      </w:r>
      <w:r>
        <w:rPr>
          <w:rFonts w:ascii="Calibri" w:hAnsi="Calibri" w:cs="Calibri"/>
          <w:sz w:val="24"/>
          <w:lang w:val="en-US"/>
        </w:rPr>
        <w:t>per day</w:t>
      </w:r>
      <w:r w:rsidRPr="000E40F4">
        <w:rPr>
          <w:rFonts w:ascii="Calibri" w:hAnsi="Calibri" w:cs="Calibri"/>
          <w:sz w:val="24"/>
          <w:lang w:val="en-US"/>
        </w:rPr>
        <w:t xml:space="preserve"> with </w:t>
      </w:r>
      <w:r w:rsidRPr="00E14A7B">
        <w:rPr>
          <w:rFonts w:ascii="Calibri" w:hAnsi="Calibri" w:cs="Calibri"/>
          <w:sz w:val="24"/>
          <w:lang w:val="en-US"/>
        </w:rPr>
        <w:t>dose adjustments</w:t>
      </w:r>
      <w:r>
        <w:rPr>
          <w:rFonts w:ascii="Calibri" w:hAnsi="Calibri" w:cs="Calibri"/>
          <w:sz w:val="24"/>
          <w:lang w:val="en-US"/>
        </w:rPr>
        <w:t xml:space="preserve"> by renal function (Appendix IV</w:t>
      </w:r>
      <w:r w:rsidRPr="00E14A7B">
        <w:rPr>
          <w:rFonts w:ascii="Calibri" w:hAnsi="Calibri" w:cs="Calibri"/>
          <w:sz w:val="24"/>
          <w:lang w:val="en-US"/>
        </w:rPr>
        <w:t>)</w:t>
      </w:r>
      <w:r>
        <w:rPr>
          <w:rFonts w:ascii="Calibri" w:hAnsi="Calibri" w:cs="Calibri"/>
          <w:sz w:val="24"/>
          <w:lang w:val="en-US"/>
        </w:rPr>
        <w:t xml:space="preserve"> is allowed. Asymptomatic episodes of CMV viremia (of any level) in prophylaxis group will not be treated. </w:t>
      </w:r>
      <w:r w:rsidRPr="004A5462">
        <w:rPr>
          <w:rFonts w:ascii="Calibri" w:hAnsi="Calibri" w:cs="Calibri"/>
          <w:sz w:val="24"/>
          <w:lang w:val="en-US"/>
        </w:rPr>
        <w:t xml:space="preserve">Patients will be monitored using quantitative real-time PCR from whole blood for CMV DNAemia detection once a week for 16 weeks and, subsequently, at months 5, 6, </w:t>
      </w:r>
      <w:r>
        <w:rPr>
          <w:rFonts w:ascii="Calibri" w:hAnsi="Calibri" w:cs="Calibri"/>
          <w:sz w:val="24"/>
          <w:lang w:val="en-US"/>
        </w:rPr>
        <w:t xml:space="preserve">7, 8, </w:t>
      </w:r>
      <w:r w:rsidRPr="004A5462">
        <w:rPr>
          <w:rFonts w:ascii="Calibri" w:hAnsi="Calibri" w:cs="Calibri"/>
          <w:sz w:val="24"/>
          <w:lang w:val="en-US"/>
        </w:rPr>
        <w:t xml:space="preserve">9, </w:t>
      </w:r>
      <w:r>
        <w:rPr>
          <w:rFonts w:ascii="Calibri" w:hAnsi="Calibri" w:cs="Calibri"/>
          <w:sz w:val="24"/>
          <w:lang w:val="en-US"/>
        </w:rPr>
        <w:t xml:space="preserve">10, 11, </w:t>
      </w:r>
      <w:r w:rsidRPr="004A5462">
        <w:rPr>
          <w:rFonts w:ascii="Calibri" w:hAnsi="Calibri" w:cs="Calibri"/>
          <w:sz w:val="24"/>
          <w:lang w:val="en-US"/>
        </w:rPr>
        <w:t>12</w:t>
      </w:r>
      <w:r>
        <w:rPr>
          <w:rFonts w:ascii="Calibri" w:hAnsi="Calibri" w:cs="Calibri"/>
          <w:sz w:val="24"/>
          <w:lang w:val="en-US"/>
        </w:rPr>
        <w:t>, 15, 18, 21, and 24</w:t>
      </w:r>
      <w:r w:rsidRPr="004A5462">
        <w:rPr>
          <w:rFonts w:ascii="Calibri" w:hAnsi="Calibri" w:cs="Calibri"/>
          <w:sz w:val="24"/>
          <w:lang w:val="en-US"/>
        </w:rPr>
        <w:t>. PCR will be likewise performed at least once a week in cases with a positive previous</w:t>
      </w:r>
      <w:r>
        <w:rPr>
          <w:rFonts w:ascii="Calibri" w:hAnsi="Calibri" w:cs="Calibri"/>
          <w:sz w:val="24"/>
          <w:lang w:val="en-US"/>
        </w:rPr>
        <w:t xml:space="preserve"> result</w:t>
      </w:r>
      <w:r w:rsidRPr="004A5462">
        <w:rPr>
          <w:rFonts w:ascii="Calibri" w:hAnsi="Calibri" w:cs="Calibri"/>
          <w:sz w:val="24"/>
          <w:lang w:val="en-US"/>
        </w:rPr>
        <w:t>.</w:t>
      </w:r>
    </w:p>
    <w:p w:rsidR="00FC0CB8" w:rsidRDefault="00FC0CB8" w:rsidP="004A5462">
      <w:pPr>
        <w:spacing w:line="360" w:lineRule="auto"/>
        <w:jc w:val="both"/>
        <w:rPr>
          <w:rFonts w:ascii="Calibri" w:hAnsi="Calibri" w:cs="Calibri"/>
          <w:b/>
          <w:sz w:val="24"/>
          <w:szCs w:val="24"/>
          <w:lang w:val="en-US"/>
        </w:rPr>
      </w:pPr>
    </w:p>
    <w:p w:rsidR="00FC0CB8" w:rsidRPr="00106191" w:rsidRDefault="00FC0CB8" w:rsidP="004A5462">
      <w:pPr>
        <w:spacing w:line="360" w:lineRule="auto"/>
        <w:jc w:val="both"/>
        <w:rPr>
          <w:rFonts w:ascii="Calibri" w:hAnsi="Calibri" w:cs="Calibri"/>
          <w:b/>
          <w:sz w:val="24"/>
          <w:lang w:val="en-US"/>
        </w:rPr>
      </w:pPr>
      <w:r w:rsidRPr="00106191">
        <w:rPr>
          <w:rFonts w:ascii="Calibri" w:hAnsi="Calibri" w:cs="Calibri"/>
          <w:b/>
          <w:sz w:val="24"/>
          <w:lang w:val="en-US"/>
        </w:rPr>
        <w:t>Treatment of CMV disease (same in both groups)</w:t>
      </w:r>
    </w:p>
    <w:p w:rsidR="00FC0CB8" w:rsidRDefault="00FC0CB8" w:rsidP="00E14A7B">
      <w:pPr>
        <w:spacing w:line="360" w:lineRule="auto"/>
        <w:jc w:val="both"/>
        <w:rPr>
          <w:rFonts w:ascii="Calibri" w:hAnsi="Calibri" w:cs="Calibri"/>
          <w:sz w:val="24"/>
          <w:lang w:val="en-US"/>
        </w:rPr>
      </w:pPr>
      <w:r w:rsidRPr="000E40F4">
        <w:rPr>
          <w:rFonts w:ascii="Calibri" w:hAnsi="Calibri" w:cs="Calibri"/>
          <w:sz w:val="24"/>
          <w:lang w:val="en-US"/>
        </w:rPr>
        <w:t>Patients developing CMV di</w:t>
      </w:r>
      <w:r>
        <w:rPr>
          <w:rFonts w:ascii="Calibri" w:hAnsi="Calibri" w:cs="Calibri"/>
          <w:sz w:val="24"/>
          <w:lang w:val="en-US"/>
        </w:rPr>
        <w:t xml:space="preserve">sease will be treated </w:t>
      </w:r>
      <w:r w:rsidRPr="000E40F4">
        <w:rPr>
          <w:rFonts w:ascii="Calibri" w:hAnsi="Calibri" w:cs="Calibri"/>
          <w:sz w:val="24"/>
          <w:lang w:val="en-US"/>
        </w:rPr>
        <w:t xml:space="preserve">by </w:t>
      </w:r>
      <w:r>
        <w:rPr>
          <w:rFonts w:ascii="Calibri" w:hAnsi="Calibri" w:cs="Calibri"/>
          <w:sz w:val="24"/>
          <w:lang w:val="en-US"/>
        </w:rPr>
        <w:t xml:space="preserve">valganciclovir at a dose of 900mg twice daily </w:t>
      </w:r>
      <w:r w:rsidRPr="000E40F4">
        <w:rPr>
          <w:rFonts w:ascii="Calibri" w:hAnsi="Calibri" w:cs="Calibri"/>
          <w:sz w:val="24"/>
          <w:lang w:val="en-US"/>
        </w:rPr>
        <w:t xml:space="preserve">with </w:t>
      </w:r>
      <w:r w:rsidRPr="00E14A7B">
        <w:rPr>
          <w:rFonts w:ascii="Calibri" w:hAnsi="Calibri" w:cs="Calibri"/>
          <w:sz w:val="24"/>
          <w:lang w:val="en-US"/>
        </w:rPr>
        <w:t>dose adjustments b</w:t>
      </w:r>
      <w:r>
        <w:rPr>
          <w:rFonts w:ascii="Calibri" w:hAnsi="Calibri" w:cs="Calibri"/>
          <w:sz w:val="24"/>
          <w:lang w:val="en-US"/>
        </w:rPr>
        <w:t>y renal function (Appendix I)</w:t>
      </w:r>
      <w:r w:rsidRPr="00E14A7B">
        <w:rPr>
          <w:rFonts w:ascii="Calibri" w:hAnsi="Calibri" w:cs="Calibri"/>
          <w:sz w:val="24"/>
          <w:lang w:val="en-US"/>
        </w:rPr>
        <w:t>.</w:t>
      </w:r>
      <w:r>
        <w:rPr>
          <w:rFonts w:ascii="Calibri" w:hAnsi="Calibri" w:cs="Calibri"/>
          <w:sz w:val="24"/>
          <w:lang w:val="en-US"/>
        </w:rPr>
        <w:t xml:space="preserve"> In cases of life-threatening CMV disease or CMV colitis </w:t>
      </w:r>
      <w:r w:rsidRPr="000E40F4">
        <w:rPr>
          <w:rFonts w:ascii="Calibri" w:hAnsi="Calibri" w:cs="Calibri"/>
          <w:sz w:val="24"/>
          <w:lang w:val="en-US"/>
        </w:rPr>
        <w:t xml:space="preserve">intravenous ganciclovir (Cymevene; Hoffman-La Roche, Basel, Switzerland) at a dose of 5mg/kg every 12 hours with </w:t>
      </w:r>
      <w:r w:rsidRPr="00E14A7B">
        <w:rPr>
          <w:rFonts w:ascii="Calibri" w:hAnsi="Calibri" w:cs="Calibri"/>
          <w:sz w:val="24"/>
          <w:lang w:val="en-US"/>
        </w:rPr>
        <w:t>dose adjustments by renal function (Appendix III)</w:t>
      </w:r>
      <w:r>
        <w:rPr>
          <w:rFonts w:ascii="Calibri" w:hAnsi="Calibri" w:cs="Calibri"/>
          <w:sz w:val="24"/>
          <w:lang w:val="en-US"/>
        </w:rPr>
        <w:t xml:space="preserve"> will be used as a first line agent</w:t>
      </w:r>
      <w:r w:rsidRPr="00E14A7B">
        <w:rPr>
          <w:rFonts w:ascii="Calibri" w:hAnsi="Calibri" w:cs="Calibri"/>
          <w:sz w:val="24"/>
          <w:lang w:val="en-US"/>
        </w:rPr>
        <w:t>. Once the clinical state improves, patients may be switched to va</w:t>
      </w:r>
      <w:r>
        <w:rPr>
          <w:rFonts w:ascii="Calibri" w:hAnsi="Calibri" w:cs="Calibri"/>
          <w:sz w:val="24"/>
          <w:lang w:val="en-US"/>
        </w:rPr>
        <w:t xml:space="preserve">lganciclovir. </w:t>
      </w:r>
      <w:r w:rsidRPr="00E14A7B">
        <w:rPr>
          <w:rFonts w:ascii="Calibri" w:hAnsi="Calibri" w:cs="Calibri"/>
          <w:sz w:val="24"/>
          <w:lang w:val="en-US"/>
        </w:rPr>
        <w:t xml:space="preserve">Duration of therapy will be </w:t>
      </w:r>
      <w:r w:rsidRPr="004A5462">
        <w:rPr>
          <w:rFonts w:ascii="Calibri" w:hAnsi="Calibri" w:cs="Calibri"/>
          <w:sz w:val="24"/>
          <w:lang w:val="en-US"/>
        </w:rPr>
        <w:t>continued until reaching clearance of CMV DNAmia</w:t>
      </w:r>
      <w:r>
        <w:rPr>
          <w:rFonts w:ascii="Calibri" w:hAnsi="Calibri" w:cs="Calibri"/>
          <w:sz w:val="24"/>
          <w:lang w:val="en-US"/>
        </w:rPr>
        <w:t xml:space="preserve"> in 2 consecutive measurements</w:t>
      </w:r>
      <w:r w:rsidRPr="004A5462">
        <w:rPr>
          <w:rFonts w:ascii="Calibri" w:hAnsi="Calibri" w:cs="Calibri"/>
          <w:sz w:val="24"/>
          <w:lang w:val="en-US"/>
        </w:rPr>
        <w:t xml:space="preserve"> (</w:t>
      </w:r>
      <w:r>
        <w:rPr>
          <w:rFonts w:ascii="Calibri" w:hAnsi="Calibri" w:cs="Calibri"/>
          <w:sz w:val="24"/>
          <w:szCs w:val="24"/>
          <w:lang w:val="en-US"/>
        </w:rPr>
        <w:t>&lt;50 IU</w:t>
      </w:r>
      <w:r w:rsidRPr="004A5462">
        <w:rPr>
          <w:rFonts w:ascii="Calibri" w:hAnsi="Calibri" w:cs="Calibri"/>
          <w:sz w:val="24"/>
          <w:szCs w:val="24"/>
          <w:lang w:val="en-US"/>
        </w:rPr>
        <w:t xml:space="preserve">/mL, </w:t>
      </w:r>
      <w:r>
        <w:rPr>
          <w:rFonts w:ascii="Calibri" w:hAnsi="Calibri" w:cs="Calibri"/>
          <w:sz w:val="24"/>
          <w:lang w:val="en-US"/>
        </w:rPr>
        <w:t>at least for 21</w:t>
      </w:r>
      <w:r w:rsidRPr="004A5462">
        <w:rPr>
          <w:rFonts w:ascii="Calibri" w:hAnsi="Calibri" w:cs="Calibri"/>
          <w:sz w:val="24"/>
          <w:lang w:val="en-US"/>
        </w:rPr>
        <w:t xml:space="preserve"> days)</w:t>
      </w:r>
      <w:r w:rsidRPr="00E14A7B">
        <w:rPr>
          <w:rFonts w:ascii="Calibri" w:hAnsi="Calibri" w:cs="Calibri"/>
          <w:sz w:val="24"/>
          <w:lang w:val="en-US"/>
        </w:rPr>
        <w:t>.</w:t>
      </w:r>
      <w:r>
        <w:rPr>
          <w:rFonts w:ascii="Calibri" w:hAnsi="Calibri" w:cs="Calibri"/>
          <w:sz w:val="24"/>
          <w:lang w:val="en-US"/>
        </w:rPr>
        <w:t xml:space="preserve"> PCR for CMV in whole blood will be performed on weekly basis at minimum. Secondary prophylaxis with valganciclovir (900mg once a day with dose reduction depending on renal function) for 1 month will be instituted after each episode of CMV disease.</w:t>
      </w:r>
    </w:p>
    <w:p w:rsidR="00FC0CB8" w:rsidRDefault="00FC0CB8" w:rsidP="00E14A7B">
      <w:pPr>
        <w:spacing w:line="360" w:lineRule="auto"/>
        <w:jc w:val="both"/>
        <w:rPr>
          <w:rFonts w:ascii="Calibri" w:hAnsi="Calibri" w:cs="Calibri"/>
          <w:sz w:val="24"/>
          <w:lang w:val="en-US"/>
        </w:rPr>
      </w:pPr>
    </w:p>
    <w:p w:rsidR="00FC0CB8" w:rsidRPr="00106191" w:rsidRDefault="00FC0CB8" w:rsidP="00E14A7B">
      <w:pPr>
        <w:spacing w:line="360" w:lineRule="auto"/>
        <w:jc w:val="both"/>
        <w:rPr>
          <w:rFonts w:ascii="Calibri" w:hAnsi="Calibri" w:cs="Calibri"/>
          <w:b/>
          <w:sz w:val="24"/>
          <w:lang w:val="en-US"/>
        </w:rPr>
      </w:pPr>
      <w:r w:rsidRPr="00106191">
        <w:rPr>
          <w:rFonts w:ascii="Calibri" w:hAnsi="Calibri"/>
          <w:b/>
          <w:sz w:val="24"/>
          <w:lang w:val="en-US"/>
        </w:rPr>
        <w:t xml:space="preserve">Immunosuppressive protocol </w:t>
      </w:r>
      <w:r w:rsidRPr="00106191">
        <w:rPr>
          <w:rFonts w:ascii="Calibri" w:hAnsi="Calibri" w:cs="Calibri"/>
          <w:b/>
          <w:sz w:val="24"/>
          <w:lang w:val="en-US"/>
        </w:rPr>
        <w:t>(same in both groups)</w:t>
      </w:r>
    </w:p>
    <w:p w:rsidR="00FC0CB8" w:rsidRPr="001342F0" w:rsidRDefault="00FC0CB8" w:rsidP="00B17AA7">
      <w:pPr>
        <w:spacing w:line="360" w:lineRule="auto"/>
        <w:jc w:val="both"/>
        <w:rPr>
          <w:rFonts w:ascii="Calibri" w:hAnsi="Calibri"/>
          <w:sz w:val="24"/>
          <w:szCs w:val="24"/>
          <w:lang w:val="en-US"/>
        </w:rPr>
      </w:pPr>
      <w:r w:rsidRPr="00E14A7B">
        <w:rPr>
          <w:rFonts w:ascii="Calibri" w:hAnsi="Calibri"/>
          <w:sz w:val="24"/>
          <w:szCs w:val="24"/>
          <w:lang w:val="en-US"/>
        </w:rPr>
        <w:t xml:space="preserve">The standard </w:t>
      </w:r>
      <w:r>
        <w:rPr>
          <w:rFonts w:ascii="Calibri" w:hAnsi="Calibri"/>
          <w:sz w:val="24"/>
          <w:szCs w:val="24"/>
          <w:lang w:val="en-US"/>
        </w:rPr>
        <w:t>protocol includes tacrolimus-based combination</w:t>
      </w:r>
      <w:r w:rsidRPr="00E14A7B">
        <w:rPr>
          <w:rFonts w:ascii="Calibri" w:hAnsi="Calibri"/>
          <w:sz w:val="24"/>
          <w:lang w:val="en-US"/>
        </w:rPr>
        <w:t xml:space="preserve">. Retransplanted patients and/or those with panel reactive antibody of &gt;60% </w:t>
      </w:r>
      <w:r>
        <w:rPr>
          <w:rFonts w:ascii="Calibri" w:hAnsi="Calibri"/>
          <w:sz w:val="24"/>
          <w:lang w:val="en-US"/>
        </w:rPr>
        <w:t xml:space="preserve">will </w:t>
      </w:r>
      <w:r w:rsidRPr="00E14A7B">
        <w:rPr>
          <w:rFonts w:ascii="Calibri" w:hAnsi="Calibri"/>
          <w:sz w:val="24"/>
          <w:lang w:val="en-US"/>
        </w:rPr>
        <w:t>receive induction rabbit antithymocyte globulin (</w:t>
      </w:r>
      <w:r>
        <w:rPr>
          <w:rFonts w:ascii="Calibri" w:hAnsi="Calibri"/>
          <w:sz w:val="24"/>
          <w:lang w:val="en-US"/>
        </w:rPr>
        <w:t xml:space="preserve">Thymoglobuline, </w:t>
      </w:r>
      <w:r w:rsidRPr="00B6426F">
        <w:rPr>
          <w:rFonts w:ascii="Calibri" w:hAnsi="Calibri"/>
          <w:sz w:val="24"/>
          <w:lang w:val="en-US"/>
        </w:rPr>
        <w:t>Genzyme; Marcy I’Eoile, France) and tacrolimus. Target trough levels of tacrolimus will be 10-15</w:t>
      </w:r>
      <w:r w:rsidRPr="00E14A7B">
        <w:rPr>
          <w:rFonts w:ascii="Calibri" w:hAnsi="Calibri"/>
          <w:sz w:val="24"/>
          <w:lang w:val="en-US"/>
        </w:rPr>
        <w:t xml:space="preserve"> ng/mL over the first 3 months and</w:t>
      </w:r>
      <w:r>
        <w:rPr>
          <w:rFonts w:ascii="Calibri" w:hAnsi="Calibri"/>
          <w:sz w:val="24"/>
          <w:lang w:val="en-US"/>
        </w:rPr>
        <w:t xml:space="preserve"> </w:t>
      </w:r>
      <w:r>
        <w:rPr>
          <w:rFonts w:ascii="Calibri" w:hAnsi="Calibri"/>
          <w:sz w:val="24"/>
          <w:lang w:val="en-US"/>
        </w:rPr>
        <w:lastRenderedPageBreak/>
        <w:t>subsequently 5-10 ng/mL</w:t>
      </w:r>
      <w:r w:rsidRPr="00E14A7B">
        <w:rPr>
          <w:rFonts w:ascii="Calibri" w:hAnsi="Calibri"/>
          <w:sz w:val="24"/>
          <w:lang w:val="en-US"/>
        </w:rPr>
        <w:t xml:space="preserve">. Recipients of grafts from highly marginal donors (donation after cardiac death, ≥70 years old, donors with </w:t>
      </w:r>
      <w:r w:rsidRPr="001342F0">
        <w:rPr>
          <w:rFonts w:ascii="Calibri" w:hAnsi="Calibri"/>
          <w:sz w:val="24"/>
          <w:szCs w:val="24"/>
          <w:lang w:val="en-US"/>
        </w:rPr>
        <w:t>hypertension and significant nephrosclerosis on biopsy</w:t>
      </w:r>
      <w:r>
        <w:rPr>
          <w:rFonts w:ascii="Calibri" w:hAnsi="Calibri"/>
          <w:sz w:val="24"/>
          <w:szCs w:val="24"/>
          <w:lang w:val="en-US"/>
        </w:rPr>
        <w:t>,</w:t>
      </w:r>
      <w:r w:rsidRPr="00D2507C">
        <w:rPr>
          <w:rFonts w:ascii="Calibri" w:hAnsi="Calibri"/>
          <w:sz w:val="24"/>
          <w:lang w:val="en-US"/>
        </w:rPr>
        <w:t xml:space="preserve"> </w:t>
      </w:r>
      <w:r w:rsidRPr="00E14A7B">
        <w:rPr>
          <w:rFonts w:ascii="Calibri" w:hAnsi="Calibri"/>
          <w:sz w:val="24"/>
          <w:lang w:val="en-US"/>
        </w:rPr>
        <w:t>and/or</w:t>
      </w:r>
      <w:r>
        <w:rPr>
          <w:rFonts w:ascii="Calibri" w:hAnsi="Calibri"/>
          <w:sz w:val="24"/>
          <w:lang w:val="en-US"/>
        </w:rPr>
        <w:t xml:space="preserve"> dual kidney transplantation</w:t>
      </w:r>
      <w:r w:rsidRPr="001342F0">
        <w:rPr>
          <w:rFonts w:ascii="Calibri" w:hAnsi="Calibri"/>
          <w:sz w:val="24"/>
          <w:szCs w:val="24"/>
          <w:lang w:val="en-US"/>
        </w:rPr>
        <w:t xml:space="preserve">) will be treated with </w:t>
      </w:r>
      <w:r>
        <w:rPr>
          <w:rFonts w:ascii="Calibri" w:hAnsi="Calibri"/>
          <w:sz w:val="24"/>
          <w:szCs w:val="24"/>
          <w:lang w:val="en-US"/>
        </w:rPr>
        <w:t>anti-IL2R monoclonal antibody (Basiliximab,</w:t>
      </w:r>
      <w:r w:rsidRPr="00D2507C">
        <w:rPr>
          <w:rFonts w:ascii="Calibri" w:hAnsi="Calibri"/>
          <w:sz w:val="24"/>
          <w:lang w:val="en-US"/>
        </w:rPr>
        <w:t xml:space="preserve"> </w:t>
      </w:r>
      <w:r w:rsidRPr="00B6426F">
        <w:rPr>
          <w:rFonts w:ascii="Calibri" w:hAnsi="Calibri"/>
          <w:sz w:val="24"/>
          <w:lang w:val="en-US"/>
        </w:rPr>
        <w:t xml:space="preserve">Novartis; Nürnberg, Germany) </w:t>
      </w:r>
      <w:r w:rsidRPr="00B6426F">
        <w:rPr>
          <w:rFonts w:ascii="Calibri" w:hAnsi="Calibri"/>
          <w:sz w:val="24"/>
          <w:szCs w:val="24"/>
          <w:lang w:val="en-US"/>
        </w:rPr>
        <w:t>and</w:t>
      </w:r>
      <w:r w:rsidRPr="001342F0">
        <w:rPr>
          <w:rFonts w:ascii="Calibri" w:hAnsi="Calibri"/>
          <w:sz w:val="24"/>
          <w:szCs w:val="24"/>
          <w:lang w:val="en-US"/>
        </w:rPr>
        <w:t xml:space="preserve"> low-dose </w:t>
      </w:r>
      <w:r>
        <w:rPr>
          <w:rFonts w:ascii="Calibri" w:hAnsi="Calibri"/>
          <w:sz w:val="24"/>
          <w:szCs w:val="24"/>
          <w:lang w:val="en-US"/>
        </w:rPr>
        <w:t>tacrolimus</w:t>
      </w:r>
      <w:r w:rsidRPr="001342F0">
        <w:rPr>
          <w:rFonts w:ascii="Calibri" w:hAnsi="Calibri"/>
          <w:sz w:val="24"/>
          <w:szCs w:val="24"/>
          <w:lang w:val="en-US"/>
        </w:rPr>
        <w:t xml:space="preserve"> with</w:t>
      </w:r>
      <w:r>
        <w:rPr>
          <w:rFonts w:ascii="Calibri" w:hAnsi="Calibri"/>
          <w:sz w:val="24"/>
          <w:szCs w:val="24"/>
          <w:lang w:val="en-US"/>
        </w:rPr>
        <w:t xml:space="preserve"> target trough levels of 4-8</w:t>
      </w:r>
      <w:r w:rsidRPr="001342F0">
        <w:rPr>
          <w:rFonts w:ascii="Calibri" w:hAnsi="Calibri"/>
          <w:sz w:val="24"/>
          <w:szCs w:val="24"/>
          <w:lang w:val="en-US"/>
        </w:rPr>
        <w:t xml:space="preserve"> ng/mL. All groups will be given mycophenolate mofetil at a dose of 2g per day and corticosteroids. </w:t>
      </w:r>
      <w:r>
        <w:rPr>
          <w:rFonts w:ascii="Calibri" w:hAnsi="Calibri"/>
          <w:sz w:val="24"/>
          <w:szCs w:val="24"/>
          <w:lang w:val="en-US"/>
        </w:rPr>
        <w:t xml:space="preserve">Therapeutic drug monitoring for mycophenolic acid (MPA) will be performed with targed MPA AUC of 30-60 mg*h/L. </w:t>
      </w:r>
      <w:r w:rsidRPr="001342F0">
        <w:rPr>
          <w:rFonts w:ascii="Calibri" w:hAnsi="Calibri" w:cs="Calibri"/>
          <w:sz w:val="24"/>
          <w:szCs w:val="24"/>
          <w:lang w:val="en-US"/>
        </w:rPr>
        <w:t xml:space="preserve">Acute </w:t>
      </w:r>
      <w:r>
        <w:rPr>
          <w:rFonts w:ascii="Calibri" w:hAnsi="Calibri" w:cs="Calibri"/>
          <w:sz w:val="24"/>
          <w:szCs w:val="24"/>
          <w:lang w:val="en-US"/>
        </w:rPr>
        <w:t xml:space="preserve">cellular </w:t>
      </w:r>
      <w:r w:rsidRPr="001342F0">
        <w:rPr>
          <w:rFonts w:ascii="Calibri" w:hAnsi="Calibri" w:cs="Calibri"/>
          <w:sz w:val="24"/>
          <w:szCs w:val="24"/>
          <w:lang w:val="en-US"/>
        </w:rPr>
        <w:t>rejection episodes (biopsy proven, including borderline chang</w:t>
      </w:r>
      <w:r>
        <w:rPr>
          <w:rFonts w:ascii="Calibri" w:hAnsi="Calibri" w:cs="Calibri"/>
          <w:sz w:val="24"/>
          <w:szCs w:val="24"/>
          <w:lang w:val="en-US"/>
        </w:rPr>
        <w:t>es) will be initially treated with</w:t>
      </w:r>
      <w:r w:rsidRPr="001342F0">
        <w:rPr>
          <w:rFonts w:ascii="Calibri" w:hAnsi="Calibri" w:cs="Calibri"/>
          <w:sz w:val="24"/>
          <w:szCs w:val="24"/>
          <w:lang w:val="en-US"/>
        </w:rPr>
        <w:t xml:space="preserve"> high-dose I.V. methylprednisolone. Steroid-resistant rejection or severe (vascular) rejection will be treated </w:t>
      </w:r>
      <w:r>
        <w:rPr>
          <w:rFonts w:ascii="Calibri" w:hAnsi="Calibri" w:cs="Calibri"/>
          <w:sz w:val="24"/>
          <w:szCs w:val="24"/>
          <w:lang w:val="en-US"/>
        </w:rPr>
        <w:t>by antilymphocyte globuline (Thymoglobuline</w:t>
      </w:r>
      <w:r w:rsidRPr="001342F0">
        <w:rPr>
          <w:rFonts w:ascii="Calibri" w:hAnsi="Calibri" w:cs="Calibri"/>
          <w:sz w:val="24"/>
          <w:szCs w:val="24"/>
          <w:lang w:val="en-US"/>
        </w:rPr>
        <w:t>). Acute antibody-mediated rejection will be treated with a combination of plasmapheresis and int</w:t>
      </w:r>
      <w:r>
        <w:rPr>
          <w:rFonts w:ascii="Calibri" w:hAnsi="Calibri" w:cs="Calibri"/>
          <w:sz w:val="24"/>
          <w:szCs w:val="24"/>
          <w:lang w:val="en-US"/>
        </w:rPr>
        <w:t>ravenous immunoglobuline (IVIG) or with bortez</w:t>
      </w:r>
      <w:r w:rsidR="00136F9C">
        <w:rPr>
          <w:rFonts w:ascii="Calibri" w:hAnsi="Calibri" w:cs="Calibri"/>
          <w:sz w:val="24"/>
          <w:szCs w:val="24"/>
          <w:lang w:val="en-US"/>
        </w:rPr>
        <w:t>omib protocol (bortezomib + ritu</w:t>
      </w:r>
      <w:r>
        <w:rPr>
          <w:rFonts w:ascii="Calibri" w:hAnsi="Calibri" w:cs="Calibri"/>
          <w:sz w:val="24"/>
          <w:szCs w:val="24"/>
          <w:lang w:val="en-US"/>
        </w:rPr>
        <w:t xml:space="preserve">ximab + plasmapheresis). </w:t>
      </w:r>
      <w:r w:rsidRPr="001342F0">
        <w:rPr>
          <w:rFonts w:ascii="Calibri" w:hAnsi="Calibri" w:cs="Calibri"/>
          <w:sz w:val="24"/>
          <w:szCs w:val="24"/>
          <w:lang w:val="en-US"/>
        </w:rPr>
        <w:t>Patients with subclinical rejection</w:t>
      </w:r>
      <w:r>
        <w:rPr>
          <w:rFonts w:ascii="Calibri" w:hAnsi="Calibri" w:cs="Calibri"/>
          <w:sz w:val="24"/>
          <w:szCs w:val="24"/>
          <w:lang w:val="en-US"/>
        </w:rPr>
        <w:t xml:space="preserve"> (grade ≥ IA accoring to Banff09) will be given</w:t>
      </w:r>
      <w:r w:rsidRPr="001342F0">
        <w:rPr>
          <w:rFonts w:ascii="Calibri" w:hAnsi="Calibri" w:cs="Calibri"/>
          <w:sz w:val="24"/>
          <w:szCs w:val="24"/>
          <w:lang w:val="en-US"/>
        </w:rPr>
        <w:t xml:space="preserve"> high-dose I.V. methylprednisolone.</w:t>
      </w:r>
    </w:p>
    <w:p w:rsidR="00FC0CB8" w:rsidRPr="001342F0" w:rsidRDefault="00FC0CB8" w:rsidP="00B17AA7">
      <w:pPr>
        <w:spacing w:line="360" w:lineRule="auto"/>
        <w:jc w:val="both"/>
        <w:rPr>
          <w:rFonts w:ascii="Calibri" w:hAnsi="Calibri"/>
          <w:sz w:val="24"/>
          <w:szCs w:val="24"/>
          <w:lang w:val="en-US"/>
        </w:rPr>
      </w:pPr>
    </w:p>
    <w:p w:rsidR="00FC0CB8" w:rsidRPr="00106191" w:rsidRDefault="00FC0CB8" w:rsidP="00B17AA7">
      <w:pPr>
        <w:spacing w:line="360" w:lineRule="auto"/>
        <w:jc w:val="both"/>
        <w:rPr>
          <w:rFonts w:ascii="Calibri" w:hAnsi="Calibri" w:cs="Calibri"/>
          <w:b/>
          <w:sz w:val="24"/>
          <w:lang w:val="en-US"/>
        </w:rPr>
      </w:pPr>
      <w:r w:rsidRPr="00106191">
        <w:rPr>
          <w:rFonts w:ascii="Calibri" w:hAnsi="Calibri"/>
          <w:b/>
          <w:sz w:val="24"/>
          <w:lang w:val="en-US"/>
        </w:rPr>
        <w:t xml:space="preserve">Other prophylactic regimens </w:t>
      </w:r>
      <w:r w:rsidRPr="00106191">
        <w:rPr>
          <w:rFonts w:ascii="Calibri" w:hAnsi="Calibri" w:cs="Calibri"/>
          <w:b/>
          <w:sz w:val="24"/>
          <w:lang w:val="en-US"/>
        </w:rPr>
        <w:t>(same in both groups)</w:t>
      </w:r>
    </w:p>
    <w:p w:rsidR="00FC0CB8" w:rsidRPr="00B17AA7" w:rsidRDefault="00FC0CB8" w:rsidP="00B17AA7">
      <w:pPr>
        <w:spacing w:line="360" w:lineRule="auto"/>
        <w:jc w:val="both"/>
        <w:rPr>
          <w:rFonts w:ascii="Calibri" w:hAnsi="Calibri"/>
          <w:sz w:val="24"/>
          <w:lang w:val="en-US"/>
        </w:rPr>
      </w:pPr>
      <w:r w:rsidRPr="00E14A7B">
        <w:rPr>
          <w:rFonts w:ascii="Calibri" w:hAnsi="Calibri"/>
          <w:sz w:val="24"/>
          <w:lang w:val="en-US"/>
        </w:rPr>
        <w:t xml:space="preserve">All patients </w:t>
      </w:r>
      <w:r>
        <w:rPr>
          <w:rFonts w:ascii="Calibri" w:hAnsi="Calibri"/>
          <w:sz w:val="24"/>
          <w:lang w:val="en-US"/>
        </w:rPr>
        <w:t xml:space="preserve">will </w:t>
      </w:r>
      <w:r w:rsidRPr="00E14A7B">
        <w:rPr>
          <w:rFonts w:ascii="Calibri" w:hAnsi="Calibri"/>
          <w:sz w:val="24"/>
          <w:lang w:val="en-US"/>
        </w:rPr>
        <w:t>receive prophylaxis with trimethoprim-sulfamethoxazole for 4 months and oral amphotericin solution for 1 month. Plasma w</w:t>
      </w:r>
      <w:r>
        <w:rPr>
          <w:rFonts w:ascii="Calibri" w:hAnsi="Calibri"/>
          <w:sz w:val="24"/>
          <w:lang w:val="en-US"/>
        </w:rPr>
        <w:t>ill</w:t>
      </w:r>
      <w:r w:rsidRPr="00E14A7B">
        <w:rPr>
          <w:rFonts w:ascii="Calibri" w:hAnsi="Calibri"/>
          <w:sz w:val="24"/>
          <w:lang w:val="en-US"/>
        </w:rPr>
        <w:t xml:space="preserve"> </w:t>
      </w:r>
      <w:r>
        <w:rPr>
          <w:rFonts w:ascii="Calibri" w:hAnsi="Calibri"/>
          <w:sz w:val="24"/>
          <w:lang w:val="en-US"/>
        </w:rPr>
        <w:t xml:space="preserve">be </w:t>
      </w:r>
      <w:r w:rsidRPr="00E14A7B">
        <w:rPr>
          <w:rFonts w:ascii="Calibri" w:hAnsi="Calibri"/>
          <w:sz w:val="24"/>
          <w:lang w:val="en-US"/>
        </w:rPr>
        <w:t xml:space="preserve">tested for polyoma </w:t>
      </w:r>
      <w:r>
        <w:rPr>
          <w:rFonts w:ascii="Calibri" w:hAnsi="Calibri"/>
          <w:sz w:val="24"/>
          <w:lang w:val="en-US"/>
        </w:rPr>
        <w:t xml:space="preserve">BK </w:t>
      </w:r>
      <w:r w:rsidRPr="00E14A7B">
        <w:rPr>
          <w:rFonts w:ascii="Calibri" w:hAnsi="Calibri"/>
          <w:sz w:val="24"/>
          <w:lang w:val="en-US"/>
        </w:rPr>
        <w:t xml:space="preserve">virus DNAemia every </w:t>
      </w:r>
      <w:r>
        <w:rPr>
          <w:rFonts w:ascii="Calibri" w:hAnsi="Calibri"/>
          <w:sz w:val="24"/>
          <w:lang w:val="en-US"/>
        </w:rPr>
        <w:t xml:space="preserve">month during first 6 months and every </w:t>
      </w:r>
      <w:r w:rsidRPr="00E14A7B">
        <w:rPr>
          <w:rFonts w:ascii="Calibri" w:hAnsi="Calibri"/>
          <w:sz w:val="24"/>
          <w:lang w:val="en-US"/>
        </w:rPr>
        <w:t xml:space="preserve">3 months </w:t>
      </w:r>
      <w:r>
        <w:rPr>
          <w:rFonts w:ascii="Calibri" w:hAnsi="Calibri"/>
          <w:sz w:val="24"/>
          <w:lang w:val="en-US"/>
        </w:rPr>
        <w:t xml:space="preserve">until 2 years post-transplantation </w:t>
      </w:r>
      <w:r w:rsidRPr="00E14A7B">
        <w:rPr>
          <w:rFonts w:ascii="Calibri" w:hAnsi="Calibri"/>
          <w:sz w:val="24"/>
          <w:lang w:val="en-US"/>
        </w:rPr>
        <w:t>with pre</w:t>
      </w:r>
      <w:r>
        <w:rPr>
          <w:rFonts w:ascii="Calibri" w:hAnsi="Calibri"/>
          <w:sz w:val="24"/>
          <w:lang w:val="en-US"/>
        </w:rPr>
        <w:t>-</w:t>
      </w:r>
      <w:r w:rsidRPr="00E14A7B">
        <w:rPr>
          <w:rFonts w:ascii="Calibri" w:hAnsi="Calibri"/>
          <w:sz w:val="24"/>
          <w:lang w:val="en-US"/>
        </w:rPr>
        <w:t xml:space="preserve">emptive immunosuppression reduction at a significant viral load </w:t>
      </w:r>
      <w:proofErr w:type="gramStart"/>
      <w:r w:rsidRPr="00E14A7B">
        <w:rPr>
          <w:rFonts w:ascii="Calibri" w:hAnsi="Calibri"/>
          <w:sz w:val="24"/>
          <w:lang w:val="en-US"/>
        </w:rPr>
        <w:t>(</w:t>
      </w:r>
      <w:r w:rsidRPr="00E14A7B">
        <w:rPr>
          <w:rFonts w:ascii="Calibri" w:hAnsi="Calibri"/>
          <w:sz w:val="24"/>
          <w:szCs w:val="24"/>
          <w:lang w:val="en-US"/>
        </w:rPr>
        <w:sym w:font="Symbol" w:char="F0B3"/>
      </w:r>
      <w:r w:rsidRPr="00E14A7B">
        <w:rPr>
          <w:rFonts w:ascii="Calibri" w:hAnsi="Calibri"/>
          <w:sz w:val="24"/>
          <w:lang w:val="en-US"/>
        </w:rPr>
        <w:t>10,000 copies/mL)</w:t>
      </w:r>
      <w:proofErr w:type="gramEnd"/>
      <w:r w:rsidRPr="00E14A7B">
        <w:rPr>
          <w:rFonts w:ascii="Calibri" w:hAnsi="Calibri"/>
          <w:sz w:val="24"/>
          <w:lang w:val="en-US"/>
        </w:rPr>
        <w:t>.</w:t>
      </w:r>
      <w:r>
        <w:rPr>
          <w:rFonts w:ascii="Calibri" w:hAnsi="Calibri"/>
          <w:sz w:val="24"/>
          <w:lang w:val="en-US"/>
        </w:rPr>
        <w:t xml:space="preserve"> </w:t>
      </w:r>
    </w:p>
    <w:p w:rsidR="00FC0CB8" w:rsidRPr="00E14A7B" w:rsidRDefault="00FC0CB8" w:rsidP="00E14A7B">
      <w:pPr>
        <w:spacing w:line="360" w:lineRule="auto"/>
        <w:jc w:val="both"/>
        <w:rPr>
          <w:rFonts w:ascii="Calibri" w:hAnsi="Calibri" w:cs="Calibri"/>
          <w:sz w:val="24"/>
          <w:lang w:val="en-US"/>
        </w:rPr>
      </w:pPr>
    </w:p>
    <w:p w:rsidR="00FC0CB8" w:rsidRDefault="00FC0CB8" w:rsidP="00E14A7B">
      <w:pPr>
        <w:spacing w:line="360" w:lineRule="auto"/>
        <w:jc w:val="both"/>
        <w:rPr>
          <w:rFonts w:ascii="Calibri" w:hAnsi="Calibri"/>
          <w:b/>
          <w:sz w:val="24"/>
          <w:lang w:val="en-US"/>
        </w:rPr>
      </w:pPr>
      <w:r>
        <w:rPr>
          <w:rFonts w:ascii="Calibri" w:hAnsi="Calibri"/>
          <w:b/>
          <w:sz w:val="24"/>
          <w:lang w:val="en-US"/>
        </w:rPr>
        <w:br w:type="page"/>
      </w:r>
      <w:r w:rsidRPr="00E14A7B">
        <w:rPr>
          <w:rFonts w:ascii="Calibri" w:hAnsi="Calibri"/>
          <w:b/>
          <w:sz w:val="24"/>
          <w:lang w:val="en-US"/>
        </w:rPr>
        <w:lastRenderedPageBreak/>
        <w:t xml:space="preserve">Randomisation and masking </w:t>
      </w:r>
    </w:p>
    <w:p w:rsidR="00FC0CB8" w:rsidRPr="00E101BD" w:rsidRDefault="00FC0CB8" w:rsidP="001F1CA9">
      <w:pPr>
        <w:spacing w:line="360" w:lineRule="auto"/>
        <w:jc w:val="both"/>
        <w:rPr>
          <w:rFonts w:ascii="Calibri" w:hAnsi="Calibri"/>
          <w:iCs/>
          <w:color w:val="000000"/>
          <w:sz w:val="24"/>
          <w:szCs w:val="24"/>
          <w:lang w:val="en-US"/>
        </w:rPr>
      </w:pPr>
      <w:r w:rsidRPr="00E14A7B">
        <w:rPr>
          <w:rFonts w:ascii="Calibri" w:hAnsi="Calibri"/>
          <w:sz w:val="24"/>
          <w:lang w:val="en-US"/>
        </w:rPr>
        <w:t>Before transplantation and after informed consent signature, eligible patients will be randomized, using the random-number table, at a 1:1 ratio</w:t>
      </w:r>
      <w:r>
        <w:rPr>
          <w:rFonts w:ascii="Calibri" w:hAnsi="Calibri"/>
          <w:sz w:val="24"/>
          <w:lang w:val="en-US"/>
        </w:rPr>
        <w:t xml:space="preserve"> with the use of random block sizes of 4</w:t>
      </w:r>
      <w:r w:rsidRPr="00E14A7B">
        <w:rPr>
          <w:rFonts w:ascii="Calibri" w:hAnsi="Calibri"/>
          <w:sz w:val="24"/>
          <w:lang w:val="en-US"/>
        </w:rPr>
        <w:t>, to pre-emptive therapy with v</w:t>
      </w:r>
      <w:r>
        <w:rPr>
          <w:rFonts w:ascii="Calibri" w:hAnsi="Calibri"/>
          <w:sz w:val="24"/>
          <w:lang w:val="en-US"/>
        </w:rPr>
        <w:t>alganciclovir or to valganciclovir</w:t>
      </w:r>
      <w:r w:rsidRPr="00E14A7B">
        <w:rPr>
          <w:rFonts w:ascii="Calibri" w:hAnsi="Calibri"/>
          <w:sz w:val="24"/>
          <w:lang w:val="en-US"/>
        </w:rPr>
        <w:t xml:space="preserve"> prophylaxis. Randomization will be stratified according to donor/recipient (D/R) CMV serostatus before transplantation, i.e. high-risk patients (D+/R- subgroup) will be randomized separatelly. Transplant nephrologist will be responsible for randomization. Sequentially</w:t>
      </w:r>
      <w:r w:rsidRPr="002C14F6">
        <w:rPr>
          <w:rFonts w:ascii="Calibri" w:hAnsi="Calibri"/>
          <w:sz w:val="24"/>
          <w:lang w:val="en-US"/>
        </w:rPr>
        <w:t xml:space="preserve"> numbered sealed envelopes will be used for allocation concealment. No masking will be provided except </w:t>
      </w:r>
      <w:r w:rsidRPr="00E101BD">
        <w:rPr>
          <w:rFonts w:ascii="Calibri" w:hAnsi="Calibri"/>
          <w:sz w:val="24"/>
          <w:lang w:val="en-US"/>
        </w:rPr>
        <w:t xml:space="preserve">for </w:t>
      </w:r>
      <w:r w:rsidRPr="00E101BD">
        <w:rPr>
          <w:rFonts w:ascii="Calibri" w:hAnsi="Calibri"/>
          <w:iCs/>
          <w:color w:val="000000"/>
          <w:sz w:val="24"/>
          <w:szCs w:val="24"/>
          <w:lang w:val="en-US"/>
        </w:rPr>
        <w:t>physicians assessing the PCR results, CMV-specific and alloantigen-specific cellular immune respose by Elispot, donor-specific antibody by single antigen beads (Luminex), and renal graft histopathology which will be blinded to the study group of patients.</w:t>
      </w:r>
    </w:p>
    <w:p w:rsidR="00FC0CB8" w:rsidRPr="00E101BD" w:rsidRDefault="00FC0CB8" w:rsidP="001F1CA9">
      <w:pPr>
        <w:spacing w:line="360" w:lineRule="auto"/>
        <w:jc w:val="both"/>
        <w:rPr>
          <w:rFonts w:ascii="Calibri" w:hAnsi="Calibri"/>
          <w:sz w:val="24"/>
          <w:lang w:val="en-US"/>
        </w:rPr>
      </w:pPr>
    </w:p>
    <w:p w:rsidR="00FC0CB8" w:rsidRPr="00E101BD" w:rsidRDefault="00FC0CB8" w:rsidP="001F1CA9">
      <w:pPr>
        <w:spacing w:line="360" w:lineRule="auto"/>
        <w:jc w:val="both"/>
        <w:rPr>
          <w:rFonts w:ascii="Calibri" w:hAnsi="Calibri" w:cs="Calibri"/>
          <w:b/>
          <w:sz w:val="24"/>
          <w:szCs w:val="24"/>
          <w:lang w:val="en-US"/>
        </w:rPr>
      </w:pPr>
      <w:r w:rsidRPr="00E101BD">
        <w:rPr>
          <w:rFonts w:ascii="Calibri" w:hAnsi="Calibri" w:cs="Calibri"/>
          <w:b/>
          <w:sz w:val="24"/>
          <w:szCs w:val="24"/>
          <w:lang w:val="en-US"/>
        </w:rPr>
        <w:t>Inclusion criteria</w:t>
      </w:r>
    </w:p>
    <w:p w:rsidR="00FC0CB8" w:rsidRPr="00E101BD" w:rsidRDefault="00FC0CB8" w:rsidP="001F1CA9">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Adult (&gt;18 years with no upper age limit) renal transplant candidates, male or female.</w:t>
      </w:r>
      <w:proofErr w:type="gramEnd"/>
    </w:p>
    <w:p w:rsidR="00FC0CB8" w:rsidRPr="00E101BD" w:rsidRDefault="00FC0CB8" w:rsidP="001F1CA9">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Complement-dependent cytotoxicity (CDC) cross-match negative at the time of transplantation.</w:t>
      </w:r>
      <w:proofErr w:type="gramEnd"/>
    </w:p>
    <w:p w:rsidR="00FC0CB8" w:rsidRPr="00E101BD" w:rsidRDefault="00FC0CB8" w:rsidP="001F1CA9">
      <w:pPr>
        <w:spacing w:line="360" w:lineRule="auto"/>
        <w:jc w:val="both"/>
        <w:rPr>
          <w:rFonts w:ascii="Calibri" w:hAnsi="Calibri" w:cs="Calibri"/>
          <w:i/>
          <w:lang w:val="en-US"/>
        </w:rPr>
      </w:pPr>
      <w:r w:rsidRPr="00E101BD">
        <w:rPr>
          <w:rFonts w:ascii="Calibri" w:hAnsi="Calibri" w:cs="Calibri"/>
          <w:sz w:val="24"/>
          <w:szCs w:val="24"/>
          <w:lang w:val="en-US"/>
        </w:rPr>
        <w:sym w:font="Wingdings" w:char="F09F"/>
      </w:r>
      <w:r w:rsidRPr="00E101BD">
        <w:rPr>
          <w:rFonts w:ascii="Calibri" w:hAnsi="Calibri" w:cs="Calibri"/>
          <w:sz w:val="24"/>
          <w:szCs w:val="24"/>
          <w:lang w:val="en-US"/>
        </w:rPr>
        <w:t xml:space="preserve">Deceased (non-heart-beating donors or dual kidney transplantation are allowed) or living (both related and unrelated, AB0 compatible or incompatible) donors with known CMV serology before transplantation. </w:t>
      </w:r>
      <w:r w:rsidRPr="00E101BD">
        <w:rPr>
          <w:rFonts w:ascii="Calibri" w:hAnsi="Calibri" w:cs="Calibri"/>
          <w:i/>
          <w:lang w:val="en-US"/>
        </w:rPr>
        <w:t>Donor CMV serology will be performed in transplant center which procures the donor.</w:t>
      </w:r>
    </w:p>
    <w:p w:rsidR="00FC0CB8" w:rsidRPr="00E101BD" w:rsidRDefault="00FC0CB8" w:rsidP="00E20E56">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r w:rsidRPr="00E101BD">
        <w:rPr>
          <w:rFonts w:ascii="Calibri" w:hAnsi="Calibri" w:cs="Calibri"/>
          <w:sz w:val="24"/>
          <w:szCs w:val="24"/>
          <w:lang w:val="en-US"/>
        </w:rPr>
        <w:t xml:space="preserve">D/R CMV serostatus of D+/R-, D+/R+, and D-/R+. </w:t>
      </w:r>
      <w:r w:rsidRPr="00E101BD">
        <w:rPr>
          <w:rFonts w:ascii="Calibri" w:hAnsi="Calibri" w:cs="Calibri"/>
          <w:i/>
          <w:lang w:val="en-US"/>
        </w:rPr>
        <w:t>Recipient CMV serology will be regularly (every 3 months) evaluated in all wait-listed patients at the Department of Virology, Universtity Hospital in Pilsen and finally confirmed at the time of transplantation.</w:t>
      </w:r>
    </w:p>
    <w:p w:rsidR="00FC0CB8" w:rsidRPr="00E101BD" w:rsidRDefault="00FC0CB8" w:rsidP="001F1CA9">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Ability to sign informed consent.</w:t>
      </w:r>
      <w:proofErr w:type="gramEnd"/>
    </w:p>
    <w:p w:rsidR="00FC0CB8" w:rsidRPr="00E101BD" w:rsidRDefault="00FC0CB8" w:rsidP="001F1CA9">
      <w:pPr>
        <w:spacing w:line="360" w:lineRule="auto"/>
        <w:jc w:val="both"/>
        <w:rPr>
          <w:rFonts w:ascii="Calibri" w:hAnsi="Calibri" w:cs="Calibri"/>
          <w:sz w:val="24"/>
          <w:szCs w:val="24"/>
          <w:lang w:val="en-US"/>
        </w:rPr>
      </w:pPr>
    </w:p>
    <w:p w:rsidR="00FC0CB8" w:rsidRPr="00E101BD" w:rsidRDefault="00FC0CB8" w:rsidP="00E44E86">
      <w:pPr>
        <w:spacing w:line="360" w:lineRule="auto"/>
        <w:jc w:val="both"/>
        <w:rPr>
          <w:rFonts w:ascii="Calibri" w:hAnsi="Calibri" w:cs="Calibri"/>
          <w:b/>
          <w:sz w:val="24"/>
          <w:szCs w:val="24"/>
          <w:lang w:val="en-US"/>
        </w:rPr>
      </w:pPr>
      <w:r w:rsidRPr="00E101BD">
        <w:rPr>
          <w:rFonts w:ascii="Calibri" w:hAnsi="Calibri" w:cs="Calibri"/>
          <w:b/>
          <w:sz w:val="24"/>
          <w:szCs w:val="24"/>
          <w:lang w:val="en-US"/>
        </w:rPr>
        <w:t>Exclusion criteria</w:t>
      </w:r>
    </w:p>
    <w:p w:rsidR="00FC0CB8" w:rsidRPr="00E101BD" w:rsidRDefault="00FC0CB8" w:rsidP="00E44E86">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Unknown pretransplantation CMV serology of the donor or recipient.</w:t>
      </w:r>
      <w:proofErr w:type="gramEnd"/>
    </w:p>
    <w:p w:rsidR="00FC0CB8" w:rsidRPr="00E101BD" w:rsidRDefault="00FC0CB8" w:rsidP="00E44E86">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D-/R- CMV serostatus.</w:t>
      </w:r>
      <w:proofErr w:type="gramEnd"/>
    </w:p>
    <w:p w:rsidR="00FC0CB8" w:rsidRPr="00E101BD" w:rsidRDefault="00FC0CB8" w:rsidP="00E44E86">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r w:rsidRPr="00E101BD">
        <w:rPr>
          <w:rFonts w:ascii="Calibri" w:hAnsi="Calibri" w:cs="Calibri"/>
          <w:sz w:val="24"/>
          <w:szCs w:val="24"/>
          <w:lang w:val="en-US"/>
        </w:rPr>
        <w:t>Active systemic viral infection within 2 weeks before transplantation except for active hepatitis B or hepatitis C infection neccesitating antiviral therapy.</w:t>
      </w:r>
    </w:p>
    <w:p w:rsidR="00FC0CB8" w:rsidRPr="00E101BD" w:rsidRDefault="00FC0CB8" w:rsidP="001F1CA9">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 xml:space="preserve">Therapy with systemic antiviral agents within 2 weeks before transplantation except for treatment of </w:t>
      </w:r>
      <w:r w:rsidRPr="00E101BD">
        <w:rPr>
          <w:rFonts w:ascii="Calibri" w:hAnsi="Calibri"/>
          <w:sz w:val="24"/>
          <w:lang w:val="en-US"/>
        </w:rPr>
        <w:t>hepatitis B (lamivudine, adefovir, entecavir)</w:t>
      </w:r>
      <w:r w:rsidRPr="00E101BD">
        <w:rPr>
          <w:rFonts w:ascii="Calibri" w:hAnsi="Calibri" w:cs="Calibri"/>
          <w:sz w:val="24"/>
          <w:szCs w:val="24"/>
          <w:lang w:val="en-US"/>
        </w:rPr>
        <w:t>.</w:t>
      </w:r>
      <w:proofErr w:type="gramEnd"/>
    </w:p>
    <w:p w:rsidR="00FC0CB8" w:rsidRPr="00E101BD" w:rsidRDefault="00FC0CB8" w:rsidP="001F1CA9">
      <w:pPr>
        <w:spacing w:line="360" w:lineRule="auto"/>
        <w:jc w:val="both"/>
        <w:rPr>
          <w:rFonts w:ascii="Calibri" w:hAnsi="Calibri"/>
          <w:sz w:val="24"/>
          <w:szCs w:val="24"/>
          <w:lang w:val="en-US"/>
        </w:rPr>
      </w:pPr>
      <w:r w:rsidRPr="00E101BD">
        <w:rPr>
          <w:rFonts w:ascii="Calibri" w:hAnsi="Calibri" w:cs="Calibri"/>
          <w:sz w:val="24"/>
          <w:szCs w:val="24"/>
          <w:lang w:val="en-US"/>
        </w:rPr>
        <w:lastRenderedPageBreak/>
        <w:sym w:font="Wingdings" w:char="F09F"/>
      </w:r>
      <w:proofErr w:type="gramStart"/>
      <w:r w:rsidRPr="00E101BD">
        <w:rPr>
          <w:rFonts w:ascii="Calibri" w:hAnsi="Calibri"/>
          <w:sz w:val="24"/>
          <w:szCs w:val="24"/>
          <w:lang w:val="en-US"/>
        </w:rPr>
        <w:t>W</w:t>
      </w:r>
      <w:r>
        <w:rPr>
          <w:rFonts w:ascii="Calibri" w:hAnsi="Calibri"/>
          <w:sz w:val="24"/>
          <w:szCs w:val="24"/>
          <w:lang w:val="en-US"/>
        </w:rPr>
        <w:t>hite blood cell (WBC) count &lt;3.0</w:t>
      </w:r>
      <w:r w:rsidRPr="00E101BD">
        <w:rPr>
          <w:rFonts w:ascii="Calibri" w:hAnsi="Calibri"/>
          <w:sz w:val="24"/>
          <w:szCs w:val="24"/>
          <w:lang w:val="en-US"/>
        </w:rPr>
        <w:t xml:space="preserve"> x 10</w:t>
      </w:r>
      <w:r w:rsidRPr="00E101BD">
        <w:rPr>
          <w:rFonts w:ascii="Calibri" w:hAnsi="Calibri"/>
          <w:sz w:val="24"/>
          <w:szCs w:val="24"/>
          <w:vertAlign w:val="superscript"/>
          <w:lang w:val="en-US"/>
        </w:rPr>
        <w:t>9</w:t>
      </w:r>
      <w:r w:rsidRPr="00E101BD">
        <w:rPr>
          <w:rFonts w:ascii="Calibri" w:hAnsi="Calibri"/>
          <w:sz w:val="24"/>
          <w:szCs w:val="24"/>
          <w:lang w:val="en-US"/>
        </w:rPr>
        <w:t>/L.</w:t>
      </w:r>
      <w:proofErr w:type="gramEnd"/>
    </w:p>
    <w:p w:rsidR="00FC0CB8" w:rsidRPr="00E101BD" w:rsidRDefault="00FC0CB8" w:rsidP="001F1CA9">
      <w:pPr>
        <w:spacing w:line="360" w:lineRule="auto"/>
        <w:jc w:val="both"/>
        <w:rPr>
          <w:rFonts w:ascii="Calibri" w:hAnsi="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P</w:t>
      </w:r>
      <w:r w:rsidRPr="00E101BD">
        <w:rPr>
          <w:rFonts w:ascii="Calibri" w:hAnsi="Calibri"/>
          <w:sz w:val="24"/>
          <w:szCs w:val="24"/>
          <w:lang w:val="en-US"/>
        </w:rPr>
        <w:t>latelet count &lt;100 x 10</w:t>
      </w:r>
      <w:r w:rsidRPr="00E101BD">
        <w:rPr>
          <w:rFonts w:ascii="Calibri" w:hAnsi="Calibri"/>
          <w:sz w:val="24"/>
          <w:szCs w:val="24"/>
          <w:vertAlign w:val="superscript"/>
          <w:lang w:val="en-US"/>
        </w:rPr>
        <w:t>9</w:t>
      </w:r>
      <w:r w:rsidRPr="00E101BD">
        <w:rPr>
          <w:rFonts w:ascii="Calibri" w:hAnsi="Calibri"/>
          <w:sz w:val="24"/>
          <w:szCs w:val="24"/>
          <w:lang w:val="en-US"/>
        </w:rPr>
        <w:t>/L.</w:t>
      </w:r>
      <w:proofErr w:type="gramEnd"/>
    </w:p>
    <w:p w:rsidR="00FC0CB8" w:rsidRPr="00E101BD" w:rsidRDefault="00FC0CB8" w:rsidP="001F1CA9">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Allergy to ganciclovir.</w:t>
      </w:r>
      <w:proofErr w:type="gramEnd"/>
    </w:p>
    <w:p w:rsidR="00FC0CB8" w:rsidRPr="00E101BD" w:rsidRDefault="00FC0CB8" w:rsidP="001F1CA9">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Inclusion to another clinical trial.</w:t>
      </w:r>
      <w:proofErr w:type="gramEnd"/>
    </w:p>
    <w:p w:rsidR="00FC0CB8" w:rsidRPr="00E101BD" w:rsidRDefault="00FC0CB8" w:rsidP="007518D3">
      <w:pPr>
        <w:spacing w:line="360" w:lineRule="auto"/>
        <w:jc w:val="both"/>
        <w:rPr>
          <w:rFonts w:ascii="Calibri" w:hAnsi="Calibri" w:cs="Calibri"/>
          <w:sz w:val="24"/>
          <w:szCs w:val="24"/>
          <w:lang w:val="en-US"/>
        </w:rPr>
      </w:pPr>
      <w:r w:rsidRPr="00E101BD">
        <w:rPr>
          <w:rFonts w:ascii="Calibri" w:hAnsi="Calibri" w:cs="Calibri"/>
          <w:sz w:val="24"/>
          <w:szCs w:val="24"/>
          <w:lang w:val="en-US"/>
        </w:rPr>
        <w:sym w:font="Wingdings" w:char="F09F"/>
      </w:r>
      <w:proofErr w:type="gramStart"/>
      <w:r w:rsidRPr="00E101BD">
        <w:rPr>
          <w:rFonts w:ascii="Calibri" w:hAnsi="Calibri" w:cs="Calibri"/>
          <w:sz w:val="24"/>
          <w:szCs w:val="24"/>
          <w:lang w:val="en-US"/>
        </w:rPr>
        <w:t>Inability to provide informed consent.</w:t>
      </w:r>
      <w:proofErr w:type="gramEnd"/>
    </w:p>
    <w:p w:rsidR="00FC0CB8" w:rsidRPr="00E101BD" w:rsidRDefault="00FC0CB8" w:rsidP="00B95B21">
      <w:pPr>
        <w:spacing w:line="360" w:lineRule="auto"/>
        <w:jc w:val="both"/>
        <w:rPr>
          <w:rFonts w:ascii="Calibri" w:hAnsi="Calibri" w:cs="Calibri"/>
          <w:b/>
          <w:sz w:val="24"/>
          <w:szCs w:val="24"/>
          <w:lang w:val="en-US"/>
        </w:rPr>
      </w:pPr>
    </w:p>
    <w:p w:rsidR="00FC0CB8" w:rsidRDefault="00FC0CB8" w:rsidP="00E053A4">
      <w:pPr>
        <w:spacing w:line="360" w:lineRule="auto"/>
        <w:ind w:left="2832" w:hanging="2832"/>
        <w:jc w:val="both"/>
        <w:rPr>
          <w:rFonts w:ascii="Calibri" w:hAnsi="Calibri" w:cs="Calibri"/>
          <w:b/>
          <w:sz w:val="24"/>
          <w:szCs w:val="24"/>
          <w:lang w:val="en-US"/>
        </w:rPr>
      </w:pPr>
      <w:r>
        <w:rPr>
          <w:rFonts w:ascii="Calibri" w:hAnsi="Calibri" w:cs="Calibri"/>
          <w:b/>
          <w:sz w:val="24"/>
          <w:szCs w:val="24"/>
          <w:lang w:val="en-US"/>
        </w:rPr>
        <w:t>Follow-up</w:t>
      </w:r>
    </w:p>
    <w:p w:rsidR="00FC0CB8" w:rsidRDefault="00FC0CB8" w:rsidP="00E6304A">
      <w:pPr>
        <w:spacing w:line="360" w:lineRule="auto"/>
        <w:jc w:val="both"/>
        <w:rPr>
          <w:rFonts w:ascii="Calibri" w:hAnsi="Calibri" w:cs="Calibri"/>
          <w:sz w:val="24"/>
          <w:szCs w:val="24"/>
          <w:lang w:val="en-US"/>
        </w:rPr>
      </w:pPr>
      <w:r w:rsidRPr="00A179CC">
        <w:rPr>
          <w:rFonts w:ascii="Calibri" w:hAnsi="Calibri" w:cs="Calibri"/>
          <w:sz w:val="24"/>
          <w:szCs w:val="24"/>
          <w:lang w:val="en-US"/>
        </w:rPr>
        <w:t xml:space="preserve">All </w:t>
      </w:r>
      <w:r>
        <w:rPr>
          <w:rFonts w:ascii="Calibri" w:hAnsi="Calibri" w:cs="Calibri"/>
          <w:sz w:val="24"/>
          <w:szCs w:val="24"/>
          <w:lang w:val="en-US"/>
        </w:rPr>
        <w:t>patients will be followed up to 4 years after transplantation or until death. The same follow up period will be used for patients in whom prophylaxis or pre-emptive therapy will be withdrawn due to severe adverse event. After patient inclusion, demographic data, primary renal disease, other co-morbid conditions, duration and type of renal replacement therapy before transplantation, immunological parameters, CMV D/R serology, recipient EBV, HHV6 and HHV8 serology, CMV-specific cellular immunity (Elispot-Fluorospot), pretransplant donor specific antibodies (DSA by SAB Luminex assay) and alloreactive cellular immunity (Elispot-Fluorospot) levels, initial immunosuppressive therapy, and donor characteristics will be recorded. After transplantation, the patients will be assessed clinically and by laboratory evaluation (Table 1A, 1B). Extra visit may be performed if clinically needed. Together with clinical, virological, and laboratory data, all drugs given during the study including dosages of tacrolimus, mycophenolate mofetil (MPA levels), corticosteroids, antiviral drugs (valganciclovir, I.V. ganciclovir)</w:t>
      </w:r>
      <w:r w:rsidRPr="00E6304A">
        <w:rPr>
          <w:rFonts w:ascii="Calibri" w:hAnsi="Calibri" w:cs="Calibri"/>
          <w:sz w:val="24"/>
          <w:szCs w:val="24"/>
          <w:lang w:val="en-US"/>
        </w:rPr>
        <w:t xml:space="preserve"> </w:t>
      </w:r>
      <w:r>
        <w:rPr>
          <w:rFonts w:ascii="Calibri" w:hAnsi="Calibri" w:cs="Calibri"/>
          <w:sz w:val="24"/>
          <w:szCs w:val="24"/>
          <w:lang w:val="en-US"/>
        </w:rPr>
        <w:t>will be recorded. Levels of tacrolimus, mycophenolate mofetil (MPA levels) will be measured as a part of routine clinical practice. Other laboratory parameters measured, examinations or histological evaluations performed as a part of clinical practice may be used for study purposes.</w:t>
      </w:r>
    </w:p>
    <w:p w:rsidR="00FC0CB8" w:rsidRDefault="00FC0CB8" w:rsidP="00B95B21">
      <w:pPr>
        <w:tabs>
          <w:tab w:val="left" w:pos="7300"/>
        </w:tabs>
        <w:spacing w:line="360" w:lineRule="auto"/>
        <w:ind w:left="2832" w:hanging="2832"/>
        <w:jc w:val="both"/>
        <w:rPr>
          <w:rFonts w:ascii="Calibri" w:hAnsi="Calibri" w:cs="Calibri"/>
          <w:sz w:val="24"/>
          <w:szCs w:val="24"/>
          <w:lang w:val="en-US"/>
        </w:rPr>
      </w:pPr>
    </w:p>
    <w:p w:rsidR="00FC0CB8" w:rsidRDefault="00FC0CB8" w:rsidP="00B95B21">
      <w:pPr>
        <w:tabs>
          <w:tab w:val="left" w:pos="7300"/>
        </w:tabs>
        <w:spacing w:line="360" w:lineRule="auto"/>
        <w:ind w:left="2832" w:hanging="2832"/>
        <w:jc w:val="both"/>
        <w:rPr>
          <w:rFonts w:ascii="Calibri" w:hAnsi="Calibri"/>
          <w:b/>
          <w:sz w:val="24"/>
          <w:szCs w:val="24"/>
          <w:lang w:val="en-US"/>
        </w:rPr>
      </w:pPr>
      <w:r>
        <w:rPr>
          <w:rFonts w:ascii="Calibri" w:hAnsi="Calibri"/>
          <w:b/>
          <w:sz w:val="24"/>
          <w:szCs w:val="24"/>
          <w:lang w:val="en-US"/>
        </w:rPr>
        <w:br w:type="page"/>
      </w:r>
      <w:r w:rsidRPr="00F01DAC">
        <w:rPr>
          <w:rFonts w:ascii="Calibri" w:hAnsi="Calibri"/>
          <w:b/>
          <w:sz w:val="24"/>
          <w:szCs w:val="24"/>
          <w:lang w:val="en-US"/>
        </w:rPr>
        <w:lastRenderedPageBreak/>
        <w:t>Study outcomes</w:t>
      </w:r>
    </w:p>
    <w:p w:rsidR="00FC0CB8" w:rsidRPr="00F01DAC" w:rsidRDefault="00FC0CB8" w:rsidP="00B95B21">
      <w:pPr>
        <w:tabs>
          <w:tab w:val="left" w:pos="7300"/>
        </w:tabs>
        <w:spacing w:line="360" w:lineRule="auto"/>
        <w:ind w:left="2832" w:hanging="2832"/>
        <w:jc w:val="both"/>
        <w:rPr>
          <w:rFonts w:ascii="Calibri" w:hAnsi="Calibri"/>
          <w:b/>
          <w:sz w:val="24"/>
          <w:szCs w:val="24"/>
          <w:lang w:val="en-US"/>
        </w:rPr>
      </w:pPr>
    </w:p>
    <w:p w:rsidR="00FC0CB8" w:rsidRPr="00056D5D" w:rsidRDefault="00FC0CB8" w:rsidP="00056D5D">
      <w:pPr>
        <w:tabs>
          <w:tab w:val="left" w:pos="7300"/>
        </w:tabs>
        <w:spacing w:line="360" w:lineRule="auto"/>
        <w:jc w:val="both"/>
        <w:rPr>
          <w:rFonts w:ascii="Calibri" w:hAnsi="Calibri" w:cs="Calibri"/>
          <w:b/>
          <w:sz w:val="24"/>
          <w:szCs w:val="24"/>
          <w:lang w:val="en-US"/>
        </w:rPr>
      </w:pPr>
      <w:r w:rsidRPr="00056D5D">
        <w:rPr>
          <w:rFonts w:ascii="Calibri" w:hAnsi="Calibri" w:cs="Calibri"/>
          <w:b/>
          <w:sz w:val="24"/>
          <w:szCs w:val="24"/>
          <w:lang w:val="en-US"/>
        </w:rPr>
        <w:t>Primary end points – short-term follow up at 12 months</w:t>
      </w:r>
    </w:p>
    <w:p w:rsidR="00FC0CB8" w:rsidRDefault="00FC0CB8" w:rsidP="00056D5D">
      <w:pPr>
        <w:tabs>
          <w:tab w:val="left" w:pos="7300"/>
        </w:tabs>
        <w:spacing w:line="360" w:lineRule="auto"/>
        <w:jc w:val="both"/>
        <w:rPr>
          <w:rFonts w:ascii="Calibri" w:hAnsi="Calibri"/>
          <w:sz w:val="24"/>
          <w:szCs w:val="24"/>
        </w:rPr>
      </w:pPr>
      <w:r w:rsidRPr="00056D5D">
        <w:rPr>
          <w:rFonts w:ascii="Calibri" w:hAnsi="Calibri" w:cs="Calibri"/>
          <w:sz w:val="24"/>
          <w:szCs w:val="24"/>
          <w:lang w:val="en-US"/>
        </w:rPr>
        <w:sym w:font="Wingdings" w:char="F09F"/>
      </w:r>
      <w:r w:rsidRPr="00056D5D">
        <w:rPr>
          <w:rFonts w:ascii="Calibri" w:hAnsi="Calibri"/>
          <w:sz w:val="24"/>
          <w:szCs w:val="24"/>
        </w:rPr>
        <w:t xml:space="preserve">Acute rejection diagnosed by renal allograft biopsy (defined according to Banff criteria including both cellular and humoral rejection). </w:t>
      </w:r>
    </w:p>
    <w:p w:rsidR="00FC0CB8" w:rsidRPr="002B32A3" w:rsidRDefault="00FC0CB8" w:rsidP="002B32A3">
      <w:pPr>
        <w:tabs>
          <w:tab w:val="left" w:pos="7300"/>
        </w:tabs>
        <w:spacing w:line="360" w:lineRule="auto"/>
        <w:ind w:left="567"/>
        <w:jc w:val="both"/>
        <w:rPr>
          <w:rFonts w:ascii="Calibri" w:hAnsi="Calibri"/>
        </w:rPr>
      </w:pPr>
      <w:r w:rsidRPr="002B32A3">
        <w:rPr>
          <w:rFonts w:ascii="Calibri" w:hAnsi="Calibri"/>
        </w:rPr>
        <w:t xml:space="preserve">All </w:t>
      </w:r>
      <w:r>
        <w:rPr>
          <w:rFonts w:ascii="Calibri" w:hAnsi="Calibri"/>
        </w:rPr>
        <w:t xml:space="preserve">acute rejection </w:t>
      </w:r>
      <w:r w:rsidRPr="002B32A3">
        <w:rPr>
          <w:rFonts w:ascii="Calibri" w:hAnsi="Calibri"/>
        </w:rPr>
        <w:t xml:space="preserve">episodes will be analysed in a detail including the severity </w:t>
      </w:r>
      <w:r>
        <w:rPr>
          <w:rFonts w:ascii="Calibri" w:hAnsi="Calibri"/>
        </w:rPr>
        <w:t xml:space="preserve">and type </w:t>
      </w:r>
      <w:r w:rsidRPr="002B32A3">
        <w:rPr>
          <w:rFonts w:ascii="Calibri" w:hAnsi="Calibri"/>
        </w:rPr>
        <w:t>(</w:t>
      </w:r>
      <w:r>
        <w:rPr>
          <w:rFonts w:ascii="Calibri" w:hAnsi="Calibri"/>
        </w:rPr>
        <w:t>cellular/humoral, steroid-resistant rejection, subclinical rejection at 3 month protocol biopsy, Banff grades), antirejection therapy (high-dose methylprednisolon, antilymphocyte antibody, plasmapheresis, IVIG, bortezomib, rituximab).</w:t>
      </w:r>
    </w:p>
    <w:p w:rsidR="00FC0CB8" w:rsidRDefault="00FC0CB8" w:rsidP="00352F69">
      <w:pPr>
        <w:tabs>
          <w:tab w:val="left" w:pos="7300"/>
        </w:tabs>
        <w:spacing w:line="360" w:lineRule="auto"/>
        <w:jc w:val="both"/>
        <w:rPr>
          <w:rFonts w:ascii="Calibri" w:hAnsi="Calibri" w:cs="Calibri"/>
          <w:b/>
          <w:sz w:val="24"/>
          <w:szCs w:val="24"/>
          <w:lang w:val="en-US"/>
        </w:rPr>
      </w:pPr>
    </w:p>
    <w:p w:rsidR="00FC0CB8" w:rsidRPr="00056D5D" w:rsidRDefault="00FC0CB8" w:rsidP="00352F69">
      <w:pPr>
        <w:tabs>
          <w:tab w:val="left" w:pos="7300"/>
        </w:tabs>
        <w:spacing w:line="360" w:lineRule="auto"/>
        <w:jc w:val="both"/>
        <w:rPr>
          <w:rFonts w:ascii="Calibri" w:hAnsi="Calibri" w:cs="Calibri"/>
          <w:b/>
          <w:sz w:val="24"/>
          <w:szCs w:val="24"/>
          <w:lang w:val="en-US"/>
        </w:rPr>
      </w:pPr>
      <w:r w:rsidRPr="00056D5D">
        <w:rPr>
          <w:rFonts w:ascii="Calibri" w:hAnsi="Calibri" w:cs="Calibri"/>
          <w:b/>
          <w:sz w:val="24"/>
          <w:szCs w:val="24"/>
          <w:lang w:val="en-US"/>
        </w:rPr>
        <w:t>Primary end point</w:t>
      </w:r>
      <w:r>
        <w:rPr>
          <w:rFonts w:ascii="Calibri" w:hAnsi="Calibri" w:cs="Calibri"/>
          <w:b/>
          <w:sz w:val="24"/>
          <w:szCs w:val="24"/>
          <w:lang w:val="en-US"/>
        </w:rPr>
        <w:t xml:space="preserve"> – long-term follow up at 36</w:t>
      </w:r>
      <w:r w:rsidRPr="00056D5D">
        <w:rPr>
          <w:rFonts w:ascii="Calibri" w:hAnsi="Calibri" w:cs="Calibri"/>
          <w:b/>
          <w:sz w:val="24"/>
          <w:szCs w:val="24"/>
          <w:lang w:val="en-US"/>
        </w:rPr>
        <w:t xml:space="preserve"> months</w:t>
      </w:r>
    </w:p>
    <w:p w:rsidR="00FC0CB8" w:rsidRPr="00892F61" w:rsidRDefault="00FC0CB8" w:rsidP="00352F69">
      <w:pPr>
        <w:tabs>
          <w:tab w:val="left" w:pos="7300"/>
        </w:tabs>
        <w:spacing w:line="360" w:lineRule="auto"/>
        <w:jc w:val="both"/>
        <w:rPr>
          <w:rFonts w:ascii="Calibri" w:hAnsi="Calibri" w:cs="Calibri"/>
          <w:sz w:val="24"/>
          <w:szCs w:val="24"/>
        </w:rPr>
      </w:pPr>
      <w:r w:rsidRPr="00892F61">
        <w:rPr>
          <w:rFonts w:ascii="Calibri" w:hAnsi="Calibri" w:cs="Calibri"/>
          <w:sz w:val="24"/>
          <w:szCs w:val="24"/>
          <w:lang w:val="en-US"/>
        </w:rPr>
        <w:sym w:font="Wingdings" w:char="F09F"/>
      </w:r>
      <w:r>
        <w:rPr>
          <w:rFonts w:ascii="Calibri" w:hAnsi="Calibri" w:cs="Calibri"/>
          <w:sz w:val="24"/>
          <w:szCs w:val="24"/>
          <w:lang w:val="en-US"/>
        </w:rPr>
        <w:t>Moderate-to-severe</w:t>
      </w:r>
      <w:r w:rsidRPr="00892F61">
        <w:rPr>
          <w:rFonts w:ascii="Calibri" w:hAnsi="Calibri" w:cs="Calibri"/>
          <w:sz w:val="24"/>
          <w:szCs w:val="24"/>
          <w:lang w:val="en-US"/>
        </w:rPr>
        <w:t xml:space="preserve"> </w:t>
      </w:r>
      <w:r w:rsidRPr="00892F61">
        <w:rPr>
          <w:rFonts w:ascii="Calibri" w:hAnsi="Calibri"/>
          <w:sz w:val="24"/>
          <w:szCs w:val="24"/>
        </w:rPr>
        <w:t>interstitial fib</w:t>
      </w:r>
      <w:r>
        <w:rPr>
          <w:rFonts w:ascii="Calibri" w:hAnsi="Calibri"/>
          <w:sz w:val="24"/>
          <w:szCs w:val="24"/>
        </w:rPr>
        <w:t>rosis/tubular atrophy (IF/TA) in protocol biopsy at</w:t>
      </w:r>
      <w:r w:rsidRPr="00892F61">
        <w:rPr>
          <w:rFonts w:ascii="Calibri" w:hAnsi="Calibri"/>
          <w:sz w:val="24"/>
          <w:szCs w:val="24"/>
        </w:rPr>
        <w:t xml:space="preserve"> 36 months (according to Banff criteria, moderate-to-severe IF/TA </w:t>
      </w:r>
      <w:r>
        <w:rPr>
          <w:rFonts w:ascii="Calibri" w:hAnsi="Calibri"/>
          <w:sz w:val="24"/>
          <w:szCs w:val="24"/>
        </w:rPr>
        <w:t xml:space="preserve">will be </w:t>
      </w:r>
      <w:r w:rsidRPr="00892F61">
        <w:rPr>
          <w:rFonts w:ascii="Calibri" w:hAnsi="Calibri"/>
          <w:sz w:val="24"/>
          <w:szCs w:val="24"/>
        </w:rPr>
        <w:t>used for sample size calculation), intrarenal expression of messenger ribonucleic acid (mRNA) cytokines evaluated in each biopsy for severity of IF/TA assessment.</w:t>
      </w:r>
    </w:p>
    <w:p w:rsidR="00FC0CB8" w:rsidRPr="002B32A3" w:rsidRDefault="00FC0CB8" w:rsidP="00892F61">
      <w:pPr>
        <w:tabs>
          <w:tab w:val="left" w:pos="7300"/>
        </w:tabs>
        <w:spacing w:line="360" w:lineRule="auto"/>
        <w:ind w:left="567"/>
        <w:jc w:val="both"/>
        <w:rPr>
          <w:rFonts w:ascii="Calibri" w:hAnsi="Calibri"/>
        </w:rPr>
      </w:pPr>
      <w:r w:rsidRPr="002B32A3">
        <w:rPr>
          <w:rFonts w:ascii="Calibri" w:hAnsi="Calibri"/>
        </w:rPr>
        <w:t xml:space="preserve">All </w:t>
      </w:r>
      <w:r>
        <w:rPr>
          <w:rFonts w:ascii="Calibri" w:hAnsi="Calibri"/>
        </w:rPr>
        <w:t>protocol biopsies</w:t>
      </w:r>
      <w:r w:rsidRPr="002B32A3">
        <w:rPr>
          <w:rFonts w:ascii="Calibri" w:hAnsi="Calibri"/>
        </w:rPr>
        <w:t xml:space="preserve"> will b</w:t>
      </w:r>
      <w:r>
        <w:rPr>
          <w:rFonts w:ascii="Calibri" w:hAnsi="Calibri"/>
        </w:rPr>
        <w:t>e analysed in a detail for the presence of other histological findings than IF/TA</w:t>
      </w:r>
      <w:r w:rsidRPr="002B32A3">
        <w:rPr>
          <w:rFonts w:ascii="Calibri" w:hAnsi="Calibri"/>
        </w:rPr>
        <w:t xml:space="preserve"> </w:t>
      </w:r>
      <w:r>
        <w:rPr>
          <w:rFonts w:ascii="Calibri" w:hAnsi="Calibri"/>
        </w:rPr>
        <w:t>(subclinical rejection, chronic T-cell-mediated rejection, chronic antibody-mediated rejection or transplant glomerulopathy, trombotic microangiopathy, reccurent glomerulonephritis, calcineurin inhibitor nephrotoxicity, nephrosclerosis, polyomavirus-associated nephropathy).</w:t>
      </w:r>
    </w:p>
    <w:p w:rsidR="00FC0CB8" w:rsidRDefault="00FC0CB8" w:rsidP="00C325FB">
      <w:pPr>
        <w:spacing w:line="360" w:lineRule="auto"/>
        <w:jc w:val="both"/>
        <w:rPr>
          <w:rFonts w:ascii="Calibri" w:hAnsi="Calibri" w:cs="Calibri"/>
          <w:b/>
          <w:sz w:val="24"/>
          <w:szCs w:val="24"/>
        </w:rPr>
      </w:pPr>
    </w:p>
    <w:p w:rsidR="00FC0CB8" w:rsidRDefault="00FC0CB8" w:rsidP="00E101BD">
      <w:pPr>
        <w:tabs>
          <w:tab w:val="left" w:pos="7300"/>
        </w:tabs>
        <w:spacing w:line="360" w:lineRule="auto"/>
        <w:jc w:val="both"/>
        <w:rPr>
          <w:rFonts w:ascii="Calibri" w:hAnsi="Calibri" w:cs="Calibri"/>
          <w:b/>
          <w:sz w:val="24"/>
          <w:szCs w:val="24"/>
          <w:lang w:val="en-US"/>
        </w:rPr>
      </w:pPr>
      <w:r>
        <w:rPr>
          <w:rFonts w:ascii="Calibri" w:hAnsi="Calibri" w:cs="Calibri"/>
          <w:b/>
          <w:sz w:val="24"/>
          <w:szCs w:val="24"/>
          <w:lang w:val="en-US"/>
        </w:rPr>
        <w:t>Secondary</w:t>
      </w:r>
      <w:r w:rsidRPr="00056D5D">
        <w:rPr>
          <w:rFonts w:ascii="Calibri" w:hAnsi="Calibri" w:cs="Calibri"/>
          <w:b/>
          <w:sz w:val="24"/>
          <w:szCs w:val="24"/>
          <w:lang w:val="en-US"/>
        </w:rPr>
        <w:t xml:space="preserve"> end points – short-term follow up at 12 months</w:t>
      </w:r>
    </w:p>
    <w:p w:rsidR="00FC0CB8" w:rsidRPr="00674491" w:rsidRDefault="00FC0CB8" w:rsidP="00E101BD">
      <w:pPr>
        <w:tabs>
          <w:tab w:val="left" w:pos="7300"/>
        </w:tabs>
        <w:spacing w:line="360" w:lineRule="auto"/>
        <w:jc w:val="both"/>
        <w:rPr>
          <w:rFonts w:ascii="Calibri" w:hAnsi="Calibri"/>
          <w:sz w:val="24"/>
          <w:szCs w:val="24"/>
        </w:rPr>
      </w:pPr>
      <w:r w:rsidRPr="00056D5D">
        <w:rPr>
          <w:rFonts w:ascii="Calibri" w:hAnsi="Calibri" w:cs="Calibri"/>
          <w:sz w:val="24"/>
          <w:szCs w:val="24"/>
          <w:lang w:val="en-US"/>
        </w:rPr>
        <w:sym w:font="Wingdings" w:char="F09F"/>
      </w:r>
      <w:r w:rsidRPr="00056D5D">
        <w:rPr>
          <w:rFonts w:ascii="Calibri" w:hAnsi="Calibri"/>
          <w:sz w:val="24"/>
          <w:szCs w:val="24"/>
        </w:rPr>
        <w:t xml:space="preserve">Cumulative incidence of CMV disease (defined by clinical symptoms + presence of CMV viremia by quantitative PCR CMV </w:t>
      </w:r>
      <w:r w:rsidRPr="00674491">
        <w:rPr>
          <w:rFonts w:ascii="Calibri" w:hAnsi="Calibri"/>
          <w:sz w:val="24"/>
          <w:szCs w:val="24"/>
        </w:rPr>
        <w:t>DNA test</w:t>
      </w:r>
      <w:r>
        <w:rPr>
          <w:rFonts w:ascii="Calibri" w:hAnsi="Calibri"/>
          <w:sz w:val="24"/>
          <w:szCs w:val="24"/>
        </w:rPr>
        <w:t>).</w:t>
      </w:r>
      <w:r w:rsidRPr="00674491">
        <w:rPr>
          <w:rFonts w:ascii="Calibri" w:hAnsi="Calibri"/>
          <w:sz w:val="24"/>
          <w:szCs w:val="24"/>
        </w:rPr>
        <w:t xml:space="preserve"> </w:t>
      </w:r>
    </w:p>
    <w:p w:rsidR="00FC0CB8" w:rsidRDefault="00FC0CB8" w:rsidP="00E101BD">
      <w:pPr>
        <w:tabs>
          <w:tab w:val="left" w:pos="7300"/>
        </w:tabs>
        <w:spacing w:line="360" w:lineRule="auto"/>
        <w:ind w:left="567"/>
        <w:jc w:val="both"/>
        <w:rPr>
          <w:rFonts w:ascii="Calibri" w:hAnsi="Calibri"/>
          <w:sz w:val="24"/>
          <w:szCs w:val="24"/>
          <w:lang w:val="en-US"/>
        </w:rPr>
      </w:pPr>
      <w:r w:rsidRPr="002B32A3">
        <w:rPr>
          <w:rFonts w:ascii="Calibri" w:hAnsi="Calibri"/>
        </w:rPr>
        <w:t>All e</w:t>
      </w:r>
      <w:r>
        <w:rPr>
          <w:rFonts w:ascii="Calibri" w:hAnsi="Calibri"/>
        </w:rPr>
        <w:t>pisodes of</w:t>
      </w:r>
      <w:r w:rsidRPr="002B32A3">
        <w:rPr>
          <w:rFonts w:ascii="Calibri" w:hAnsi="Calibri"/>
        </w:rPr>
        <w:t xml:space="preserve"> CMV disease will be analysed in a detail including the severity (syndrome/end-organ disease), diagnostic tests used, the course of therapy, duration of hospitalisation, viral load data, concomitant infections.</w:t>
      </w:r>
      <w:r w:rsidRPr="00674491">
        <w:rPr>
          <w:rFonts w:ascii="Calibri" w:hAnsi="Calibri"/>
          <w:sz w:val="24"/>
          <w:szCs w:val="24"/>
          <w:lang w:val="en-US"/>
        </w:rPr>
        <w:t xml:space="preserve"> </w:t>
      </w:r>
    </w:p>
    <w:p w:rsidR="00FC0CB8" w:rsidRPr="00674491" w:rsidRDefault="00FC0CB8" w:rsidP="00674491">
      <w:pPr>
        <w:tabs>
          <w:tab w:val="left" w:pos="7300"/>
        </w:tabs>
        <w:spacing w:line="360" w:lineRule="auto"/>
        <w:ind w:left="567"/>
        <w:jc w:val="both"/>
        <w:rPr>
          <w:rFonts w:ascii="Calibri" w:hAnsi="Calibri"/>
        </w:rPr>
      </w:pPr>
      <w:r w:rsidRPr="00674491">
        <w:rPr>
          <w:rFonts w:ascii="Calibri" w:hAnsi="Calibri"/>
          <w:lang w:val="en-US"/>
        </w:rPr>
        <w:t>(Preiksaitis JK, Brennan DC, Fishman J, Allen U: Canadian society of transplantation consensus workshop on cytomegalovirus management in solid organ transplantation final report. Am J Transplant</w:t>
      </w:r>
      <w:r w:rsidRPr="00674491">
        <w:rPr>
          <w:rFonts w:ascii="Calibri" w:hAnsi="Calibri"/>
          <w:i/>
          <w:lang w:val="en-US"/>
        </w:rPr>
        <w:t xml:space="preserve"> 5: 218</w:t>
      </w:r>
      <w:r w:rsidRPr="00674491">
        <w:rPr>
          <w:rFonts w:ascii="Calibri" w:hAnsi="Calibri"/>
          <w:lang w:val="en-US"/>
        </w:rPr>
        <w:t>-27, 2005</w:t>
      </w:r>
      <w:r w:rsidRPr="00674491">
        <w:rPr>
          <w:rFonts w:ascii="Calibri" w:hAnsi="Calibri"/>
        </w:rPr>
        <w:t>).</w:t>
      </w:r>
    </w:p>
    <w:p w:rsidR="00FC0CB8" w:rsidRDefault="00FC0CB8" w:rsidP="00277196">
      <w:pPr>
        <w:spacing w:line="360" w:lineRule="auto"/>
        <w:jc w:val="both"/>
        <w:rPr>
          <w:rFonts w:ascii="Calibri" w:hAnsi="Calibri"/>
          <w:sz w:val="24"/>
          <w:szCs w:val="24"/>
          <w:lang w:val="en-US"/>
        </w:rPr>
      </w:pPr>
      <w:r w:rsidRPr="00674491">
        <w:rPr>
          <w:rFonts w:ascii="Calibri" w:hAnsi="Calibri" w:cs="Calibri"/>
          <w:sz w:val="24"/>
          <w:szCs w:val="24"/>
          <w:lang w:val="en-US"/>
        </w:rPr>
        <w:sym w:font="Wingdings" w:char="F09F"/>
      </w:r>
      <w:r w:rsidRPr="00674491">
        <w:rPr>
          <w:rFonts w:ascii="Calibri" w:hAnsi="Calibri"/>
          <w:sz w:val="24"/>
          <w:szCs w:val="24"/>
          <w:lang w:val="en-US"/>
        </w:rPr>
        <w:t>Cumulative incidence of CMV infection (viremia) defined by positive PCR for CMV DNA in whole blood.</w:t>
      </w:r>
    </w:p>
    <w:p w:rsidR="00FC0CB8" w:rsidRPr="00674491" w:rsidRDefault="00FC0CB8" w:rsidP="00277196">
      <w:pPr>
        <w:spacing w:line="360" w:lineRule="auto"/>
        <w:jc w:val="both"/>
        <w:rPr>
          <w:rFonts w:ascii="Calibri" w:hAnsi="Calibri"/>
          <w:sz w:val="24"/>
          <w:szCs w:val="24"/>
          <w:lang w:val="en-US"/>
        </w:rPr>
      </w:pPr>
      <w:r w:rsidRPr="00674491">
        <w:rPr>
          <w:rFonts w:ascii="Calibri" w:hAnsi="Calibri" w:cs="Calibri"/>
          <w:sz w:val="24"/>
          <w:szCs w:val="24"/>
          <w:lang w:val="en-US"/>
        </w:rPr>
        <w:sym w:font="Wingdings" w:char="F09F"/>
      </w:r>
      <w:proofErr w:type="gramStart"/>
      <w:r>
        <w:rPr>
          <w:rFonts w:ascii="Calibri" w:hAnsi="Calibri"/>
          <w:sz w:val="24"/>
          <w:szCs w:val="24"/>
          <w:lang w:val="en-US"/>
        </w:rPr>
        <w:t>I</w:t>
      </w:r>
      <w:r w:rsidRPr="00674491">
        <w:rPr>
          <w:rFonts w:ascii="Calibri" w:hAnsi="Calibri"/>
          <w:sz w:val="24"/>
          <w:szCs w:val="24"/>
          <w:lang w:val="en-US"/>
        </w:rPr>
        <w:t xml:space="preserve">ncidence of CMV </w:t>
      </w:r>
      <w:r>
        <w:rPr>
          <w:rFonts w:ascii="Calibri" w:hAnsi="Calibri"/>
          <w:sz w:val="24"/>
          <w:szCs w:val="24"/>
          <w:lang w:val="en-US"/>
        </w:rPr>
        <w:t xml:space="preserve">ganciclovir resistant </w:t>
      </w:r>
      <w:r w:rsidRPr="00674491">
        <w:rPr>
          <w:rFonts w:ascii="Calibri" w:hAnsi="Calibri"/>
          <w:sz w:val="24"/>
          <w:szCs w:val="24"/>
          <w:lang w:val="en-US"/>
        </w:rPr>
        <w:t xml:space="preserve">viremia </w:t>
      </w:r>
      <w:r>
        <w:rPr>
          <w:rFonts w:ascii="Calibri" w:hAnsi="Calibri"/>
          <w:sz w:val="24"/>
          <w:szCs w:val="24"/>
          <w:lang w:val="en-US"/>
        </w:rPr>
        <w:t>based</w:t>
      </w:r>
      <w:r w:rsidRPr="00674491">
        <w:rPr>
          <w:rFonts w:ascii="Calibri" w:hAnsi="Calibri"/>
          <w:sz w:val="24"/>
          <w:szCs w:val="24"/>
          <w:lang w:val="en-US"/>
        </w:rPr>
        <w:t xml:space="preserve"> </w:t>
      </w:r>
      <w:r>
        <w:rPr>
          <w:rFonts w:ascii="Calibri" w:hAnsi="Calibri"/>
          <w:sz w:val="24"/>
          <w:szCs w:val="24"/>
          <w:lang w:val="en-US"/>
        </w:rPr>
        <w:t>on UL97 or UL54 mutation</w:t>
      </w:r>
      <w:r w:rsidRPr="00674491">
        <w:rPr>
          <w:rFonts w:ascii="Calibri" w:hAnsi="Calibri"/>
          <w:sz w:val="24"/>
          <w:szCs w:val="24"/>
          <w:lang w:val="en-US"/>
        </w:rPr>
        <w:t>.</w:t>
      </w:r>
      <w:proofErr w:type="gramEnd"/>
    </w:p>
    <w:p w:rsidR="00FC0CB8" w:rsidRPr="00674491" w:rsidRDefault="00FC0CB8" w:rsidP="00277196">
      <w:pPr>
        <w:spacing w:line="360" w:lineRule="auto"/>
        <w:jc w:val="both"/>
        <w:rPr>
          <w:rFonts w:ascii="Calibri" w:hAnsi="Calibri"/>
          <w:sz w:val="24"/>
          <w:szCs w:val="24"/>
          <w:lang w:val="en-US"/>
        </w:rPr>
      </w:pPr>
      <w:r w:rsidRPr="00674491">
        <w:rPr>
          <w:rFonts w:ascii="Calibri" w:hAnsi="Calibri" w:cs="Calibri"/>
          <w:sz w:val="24"/>
          <w:szCs w:val="24"/>
          <w:lang w:val="en-US"/>
        </w:rPr>
        <w:sym w:font="Wingdings" w:char="F09F"/>
      </w:r>
      <w:proofErr w:type="gramStart"/>
      <w:r w:rsidRPr="00674491">
        <w:rPr>
          <w:rFonts w:ascii="Calibri" w:hAnsi="Calibri"/>
          <w:sz w:val="24"/>
          <w:szCs w:val="24"/>
          <w:lang w:val="en-US"/>
        </w:rPr>
        <w:t>Level of CMV-specific T cell immunity assessed by Elispot-Fluorospot.</w:t>
      </w:r>
      <w:proofErr w:type="gramEnd"/>
    </w:p>
    <w:p w:rsidR="00FC0CB8" w:rsidRDefault="00FC0CB8" w:rsidP="00277196">
      <w:pPr>
        <w:spacing w:line="360" w:lineRule="auto"/>
        <w:jc w:val="both"/>
        <w:rPr>
          <w:rFonts w:ascii="Calibri" w:hAnsi="Calibri"/>
          <w:sz w:val="24"/>
          <w:szCs w:val="24"/>
          <w:lang w:val="en-US"/>
        </w:rPr>
      </w:pPr>
      <w:r w:rsidRPr="00674491">
        <w:rPr>
          <w:rFonts w:ascii="Calibri" w:hAnsi="Calibri" w:cs="Calibri"/>
          <w:sz w:val="24"/>
          <w:szCs w:val="24"/>
          <w:lang w:val="en-US"/>
        </w:rPr>
        <w:sym w:font="Wingdings" w:char="F09F"/>
      </w:r>
      <w:proofErr w:type="gramStart"/>
      <w:r w:rsidRPr="00674491">
        <w:rPr>
          <w:rFonts w:ascii="Calibri" w:hAnsi="Calibri"/>
          <w:sz w:val="24"/>
          <w:szCs w:val="24"/>
          <w:lang w:val="en-US"/>
        </w:rPr>
        <w:t>Level of alloreactive T cell im</w:t>
      </w:r>
      <w:r>
        <w:rPr>
          <w:rFonts w:ascii="Calibri" w:hAnsi="Calibri"/>
          <w:sz w:val="24"/>
          <w:szCs w:val="24"/>
          <w:lang w:val="en-US"/>
        </w:rPr>
        <w:t>m</w:t>
      </w:r>
      <w:r w:rsidRPr="00674491">
        <w:rPr>
          <w:rFonts w:ascii="Calibri" w:hAnsi="Calibri"/>
          <w:sz w:val="24"/>
          <w:szCs w:val="24"/>
          <w:lang w:val="en-US"/>
        </w:rPr>
        <w:t xml:space="preserve">unity </w:t>
      </w:r>
      <w:r>
        <w:rPr>
          <w:rFonts w:ascii="Calibri" w:hAnsi="Calibri"/>
          <w:sz w:val="24"/>
          <w:szCs w:val="24"/>
          <w:lang w:val="en-US"/>
        </w:rPr>
        <w:t>assessed by Elispot-Flurospot.</w:t>
      </w:r>
      <w:proofErr w:type="gramEnd"/>
    </w:p>
    <w:p w:rsidR="00FC0CB8" w:rsidRPr="00674491" w:rsidRDefault="00FC0CB8" w:rsidP="00277196">
      <w:pPr>
        <w:spacing w:line="360" w:lineRule="auto"/>
        <w:jc w:val="both"/>
        <w:rPr>
          <w:rFonts w:ascii="Calibri" w:hAnsi="Calibri"/>
          <w:sz w:val="24"/>
          <w:szCs w:val="24"/>
          <w:lang w:val="en-US"/>
        </w:rPr>
      </w:pPr>
      <w:r w:rsidRPr="00674491">
        <w:rPr>
          <w:rFonts w:ascii="Calibri" w:hAnsi="Calibri" w:cs="Calibri"/>
          <w:sz w:val="24"/>
          <w:szCs w:val="24"/>
          <w:lang w:val="en-US"/>
        </w:rPr>
        <w:lastRenderedPageBreak/>
        <w:sym w:font="Wingdings" w:char="F09F"/>
      </w:r>
      <w:proofErr w:type="gramStart"/>
      <w:r>
        <w:rPr>
          <w:rFonts w:ascii="Calibri" w:hAnsi="Calibri"/>
          <w:sz w:val="24"/>
          <w:szCs w:val="24"/>
          <w:lang w:val="en-US"/>
        </w:rPr>
        <w:t>Cumulative incidence of donor specific antibodies assessed by SAB Luminex.</w:t>
      </w:r>
      <w:proofErr w:type="gramEnd"/>
    </w:p>
    <w:p w:rsidR="00FC0CB8" w:rsidRPr="00332B77" w:rsidRDefault="00FC0CB8" w:rsidP="00F7531E">
      <w:pPr>
        <w:spacing w:line="360" w:lineRule="auto"/>
        <w:jc w:val="both"/>
        <w:rPr>
          <w:rFonts w:ascii="Calibri" w:hAnsi="Calibri"/>
          <w:sz w:val="24"/>
          <w:szCs w:val="24"/>
        </w:rPr>
      </w:pPr>
      <w:r w:rsidRPr="00332B77">
        <w:rPr>
          <w:rFonts w:ascii="Calibri" w:hAnsi="Calibri" w:cs="Calibri"/>
          <w:sz w:val="24"/>
          <w:szCs w:val="24"/>
          <w:lang w:val="en-US"/>
        </w:rPr>
        <w:sym w:font="Wingdings" w:char="F09F"/>
      </w:r>
      <w:proofErr w:type="gramStart"/>
      <w:r w:rsidRPr="00332B77">
        <w:rPr>
          <w:rFonts w:ascii="Calibri" w:hAnsi="Calibri" w:cs="Calibri"/>
          <w:sz w:val="24"/>
          <w:szCs w:val="24"/>
          <w:lang w:val="en-US"/>
        </w:rPr>
        <w:t xml:space="preserve">Incidence of </w:t>
      </w:r>
      <w:r w:rsidRPr="00332B77">
        <w:rPr>
          <w:rFonts w:ascii="Calibri" w:hAnsi="Calibri"/>
          <w:sz w:val="24"/>
          <w:szCs w:val="24"/>
        </w:rPr>
        <w:t>other infection</w:t>
      </w:r>
      <w:r>
        <w:rPr>
          <w:rFonts w:ascii="Calibri" w:hAnsi="Calibri"/>
          <w:sz w:val="24"/>
          <w:szCs w:val="24"/>
        </w:rPr>
        <w:t>s</w:t>
      </w:r>
      <w:r w:rsidRPr="00332B77">
        <w:rPr>
          <w:rFonts w:ascii="Calibri" w:hAnsi="Calibri"/>
          <w:sz w:val="24"/>
          <w:szCs w:val="24"/>
        </w:rPr>
        <w:t>.</w:t>
      </w:r>
      <w:proofErr w:type="gramEnd"/>
    </w:p>
    <w:p w:rsidR="00FC0CB8" w:rsidRPr="002B32A3" w:rsidRDefault="00FC0CB8" w:rsidP="00F7531E">
      <w:pPr>
        <w:tabs>
          <w:tab w:val="left" w:pos="7300"/>
        </w:tabs>
        <w:spacing w:line="360" w:lineRule="auto"/>
        <w:ind w:left="567"/>
        <w:jc w:val="both"/>
        <w:rPr>
          <w:rFonts w:ascii="Calibri" w:hAnsi="Calibri"/>
        </w:rPr>
      </w:pPr>
      <w:r>
        <w:rPr>
          <w:rFonts w:ascii="Calibri" w:hAnsi="Calibri"/>
        </w:rPr>
        <w:t>Particular interest will be given to other herpes virus inefction (HSV, VZV, HHV6, HHV7, EBV), other viral infections, polyomavirus viremia/nephropathy, fungal infection (candida, aspergillus, pneumocystis, etc.), sepsis, urinary tract infection, pneumonia.</w:t>
      </w:r>
    </w:p>
    <w:p w:rsidR="00FC0CB8" w:rsidRPr="00F7531E" w:rsidRDefault="00FC0CB8" w:rsidP="00F7531E">
      <w:pPr>
        <w:spacing w:line="360" w:lineRule="auto"/>
        <w:jc w:val="both"/>
        <w:rPr>
          <w:rFonts w:ascii="Calibri" w:hAnsi="Calibri"/>
          <w:sz w:val="24"/>
          <w:szCs w:val="24"/>
        </w:rPr>
      </w:pPr>
      <w:r w:rsidRPr="00F7531E">
        <w:rPr>
          <w:rFonts w:ascii="Calibri" w:hAnsi="Calibri" w:cs="Calibri"/>
          <w:sz w:val="24"/>
          <w:szCs w:val="24"/>
          <w:lang w:val="en-US"/>
        </w:rPr>
        <w:sym w:font="Wingdings" w:char="F09F"/>
      </w:r>
      <w:r w:rsidRPr="00F7531E">
        <w:rPr>
          <w:rFonts w:ascii="Calibri" w:hAnsi="Calibri"/>
          <w:sz w:val="24"/>
          <w:szCs w:val="24"/>
        </w:rPr>
        <w:t>Cumulative patient and graft survival (defined as death or graft loss)</w:t>
      </w:r>
    </w:p>
    <w:p w:rsidR="00FC0CB8" w:rsidRPr="00F7531E" w:rsidRDefault="00FC0CB8" w:rsidP="00F7531E">
      <w:pPr>
        <w:spacing w:line="360" w:lineRule="auto"/>
        <w:jc w:val="both"/>
        <w:rPr>
          <w:rFonts w:ascii="Calibri" w:hAnsi="Calibri"/>
          <w:sz w:val="24"/>
          <w:szCs w:val="24"/>
        </w:rPr>
      </w:pPr>
      <w:r w:rsidRPr="00F7531E">
        <w:rPr>
          <w:rFonts w:ascii="Calibri" w:hAnsi="Calibri" w:cs="Calibri"/>
          <w:sz w:val="24"/>
          <w:szCs w:val="24"/>
          <w:lang w:val="en-US"/>
        </w:rPr>
        <w:sym w:font="Wingdings" w:char="F09F"/>
      </w:r>
      <w:proofErr w:type="gramStart"/>
      <w:r w:rsidRPr="00F7531E">
        <w:rPr>
          <w:rFonts w:ascii="Calibri" w:hAnsi="Calibri" w:cs="Calibri"/>
          <w:sz w:val="24"/>
          <w:szCs w:val="24"/>
          <w:lang w:val="en-US"/>
        </w:rPr>
        <w:t xml:space="preserve">Incidence of </w:t>
      </w:r>
      <w:r w:rsidRPr="00F7531E">
        <w:rPr>
          <w:rFonts w:ascii="Calibri" w:hAnsi="Calibri"/>
          <w:sz w:val="24"/>
          <w:szCs w:val="24"/>
        </w:rPr>
        <w:t>adverse events and study drug discontinuation or dose reduction due to adverse event.</w:t>
      </w:r>
      <w:proofErr w:type="gramEnd"/>
    </w:p>
    <w:p w:rsidR="00FC0CB8" w:rsidRPr="00F7531E" w:rsidRDefault="00FC0CB8" w:rsidP="00F7531E">
      <w:pPr>
        <w:tabs>
          <w:tab w:val="left" w:pos="7300"/>
        </w:tabs>
        <w:spacing w:line="360" w:lineRule="auto"/>
        <w:ind w:left="567"/>
        <w:jc w:val="both"/>
        <w:rPr>
          <w:rFonts w:ascii="Calibri" w:hAnsi="Calibri"/>
        </w:rPr>
      </w:pPr>
      <w:r w:rsidRPr="00F7531E">
        <w:rPr>
          <w:rFonts w:ascii="Calibri" w:hAnsi="Calibri"/>
        </w:rPr>
        <w:t>Particular interest will be given to heamatological side effects (leuko/neutropenia, trombocytopenia, anemia), psychiatric side effects (hallucinations, confusion), liver enzyme abnormalities, new-onset post transplant diabetes, new-onset malignancy, cardiovascular events. </w:t>
      </w:r>
    </w:p>
    <w:p w:rsidR="00FC0CB8" w:rsidRPr="00F7531E" w:rsidRDefault="00FC0CB8" w:rsidP="00F7531E">
      <w:pPr>
        <w:pStyle w:val="Zkladntext2"/>
        <w:spacing w:after="0" w:line="360" w:lineRule="auto"/>
        <w:jc w:val="both"/>
        <w:rPr>
          <w:rFonts w:ascii="Calibri" w:hAnsi="Calibri"/>
          <w:sz w:val="24"/>
          <w:szCs w:val="24"/>
        </w:rPr>
      </w:pPr>
      <w:r w:rsidRPr="00F7531E">
        <w:rPr>
          <w:rFonts w:ascii="Calibri" w:hAnsi="Calibri" w:cs="Calibri"/>
          <w:sz w:val="24"/>
          <w:szCs w:val="24"/>
          <w:lang w:val="en-US"/>
        </w:rPr>
        <w:sym w:font="Wingdings" w:char="F09F"/>
      </w:r>
      <w:r w:rsidRPr="00F7531E">
        <w:rPr>
          <w:rFonts w:ascii="Calibri" w:hAnsi="Calibri" w:cs="Calibri"/>
          <w:sz w:val="24"/>
          <w:szCs w:val="24"/>
          <w:lang w:val="en-US"/>
        </w:rPr>
        <w:t>R</w:t>
      </w:r>
      <w:r w:rsidRPr="00F7531E">
        <w:rPr>
          <w:rFonts w:ascii="Calibri" w:hAnsi="Calibri"/>
          <w:sz w:val="24"/>
          <w:szCs w:val="24"/>
        </w:rPr>
        <w:t>enal function assessed by serum creatinine and estimated glomerular filtration rate calculated by MDRD7 formula</w:t>
      </w:r>
    </w:p>
    <w:p w:rsidR="00FC0CB8" w:rsidRPr="00F7531E" w:rsidRDefault="00FC0CB8" w:rsidP="00F7531E">
      <w:pPr>
        <w:pStyle w:val="Zkladntext2"/>
        <w:spacing w:after="0" w:line="360" w:lineRule="auto"/>
        <w:ind w:left="567"/>
        <w:jc w:val="both"/>
        <w:rPr>
          <w:rFonts w:ascii="Calibri" w:hAnsi="Calibri"/>
        </w:rPr>
      </w:pPr>
      <w:r w:rsidRPr="00F7531E">
        <w:rPr>
          <w:rFonts w:ascii="Calibri" w:hAnsi="Calibri"/>
        </w:rPr>
        <w:t>(Levey AS, Bosh JP, Breyer-Lewis J et al. A more accurate method to estimate glomerular filtration rate from serum creatinine: a new prediction equation. Ann Intern Med 1999; 130: 877-884).</w:t>
      </w:r>
    </w:p>
    <w:p w:rsidR="00FC0CB8" w:rsidRDefault="00FC0CB8" w:rsidP="00F7531E">
      <w:pPr>
        <w:spacing w:line="360" w:lineRule="auto"/>
        <w:jc w:val="both"/>
        <w:rPr>
          <w:rFonts w:ascii="Calibri" w:hAnsi="Calibri" w:cs="Calibri"/>
          <w:sz w:val="24"/>
          <w:szCs w:val="24"/>
          <w:lang w:val="en-US"/>
        </w:rPr>
      </w:pPr>
      <w:r w:rsidRPr="00F7531E">
        <w:rPr>
          <w:rFonts w:ascii="Calibri" w:hAnsi="Calibri" w:cs="Calibri"/>
          <w:sz w:val="24"/>
          <w:szCs w:val="24"/>
          <w:lang w:val="en-US"/>
        </w:rPr>
        <w:sym w:font="Wingdings" w:char="F09F"/>
      </w:r>
      <w:proofErr w:type="gramStart"/>
      <w:r>
        <w:rPr>
          <w:rFonts w:ascii="Calibri" w:hAnsi="Calibri" w:cs="Calibri"/>
          <w:sz w:val="24"/>
          <w:szCs w:val="24"/>
          <w:lang w:val="en-US"/>
        </w:rPr>
        <w:t>Daily urine protein excretion and protein/creatinine ratio.</w:t>
      </w:r>
      <w:proofErr w:type="gramEnd"/>
    </w:p>
    <w:p w:rsidR="00FC0CB8" w:rsidRPr="00F7531E" w:rsidRDefault="00FC0CB8" w:rsidP="00F7531E">
      <w:pPr>
        <w:spacing w:line="360" w:lineRule="auto"/>
        <w:jc w:val="both"/>
        <w:rPr>
          <w:rFonts w:ascii="Calibri" w:hAnsi="Calibri"/>
          <w:sz w:val="24"/>
          <w:szCs w:val="24"/>
        </w:rPr>
      </w:pPr>
      <w:r w:rsidRPr="00F7531E">
        <w:rPr>
          <w:rFonts w:ascii="Calibri" w:hAnsi="Calibri" w:cs="Calibri"/>
          <w:sz w:val="24"/>
          <w:szCs w:val="24"/>
          <w:lang w:val="en-US"/>
        </w:rPr>
        <w:sym w:font="Wingdings" w:char="F09F"/>
      </w:r>
      <w:r w:rsidRPr="00F7531E">
        <w:rPr>
          <w:rFonts w:ascii="Calibri" w:hAnsi="Calibri" w:cs="Calibri"/>
          <w:sz w:val="24"/>
          <w:szCs w:val="24"/>
          <w:lang w:val="en-US"/>
        </w:rPr>
        <w:t xml:space="preserve">Incidence of </w:t>
      </w:r>
      <w:r w:rsidRPr="00F7531E">
        <w:rPr>
          <w:rFonts w:ascii="Calibri" w:hAnsi="Calibri"/>
          <w:sz w:val="24"/>
          <w:szCs w:val="24"/>
        </w:rPr>
        <w:t>de</w:t>
      </w:r>
      <w:r>
        <w:rPr>
          <w:rFonts w:ascii="Calibri" w:hAnsi="Calibri"/>
          <w:sz w:val="24"/>
          <w:szCs w:val="24"/>
        </w:rPr>
        <w:t>layed graft function (defined as a</w:t>
      </w:r>
      <w:r w:rsidRPr="00F7531E">
        <w:rPr>
          <w:rFonts w:ascii="Calibri" w:hAnsi="Calibri"/>
          <w:sz w:val="24"/>
          <w:szCs w:val="24"/>
        </w:rPr>
        <w:t xml:space="preserve"> need of dialysis within first week post transplant) </w:t>
      </w:r>
    </w:p>
    <w:p w:rsidR="00FC0CB8" w:rsidRDefault="00FC0CB8" w:rsidP="00F7531E">
      <w:pPr>
        <w:tabs>
          <w:tab w:val="left" w:pos="7300"/>
        </w:tabs>
        <w:spacing w:line="360" w:lineRule="auto"/>
        <w:jc w:val="both"/>
        <w:rPr>
          <w:rFonts w:ascii="Calibri" w:hAnsi="Calibri" w:cs="Calibri"/>
          <w:b/>
          <w:sz w:val="24"/>
          <w:szCs w:val="24"/>
          <w:lang w:val="en-US"/>
        </w:rPr>
      </w:pPr>
    </w:p>
    <w:p w:rsidR="00FC0CB8" w:rsidRPr="00073179" w:rsidRDefault="00FC0CB8" w:rsidP="00F7531E">
      <w:pPr>
        <w:tabs>
          <w:tab w:val="left" w:pos="7300"/>
        </w:tabs>
        <w:spacing w:line="360" w:lineRule="auto"/>
        <w:jc w:val="both"/>
        <w:rPr>
          <w:rFonts w:ascii="Calibri" w:hAnsi="Calibri" w:cs="Calibri"/>
          <w:b/>
          <w:sz w:val="24"/>
          <w:szCs w:val="24"/>
          <w:lang w:val="en-US"/>
        </w:rPr>
      </w:pPr>
      <w:r w:rsidRPr="00073179">
        <w:rPr>
          <w:rFonts w:ascii="Calibri" w:hAnsi="Calibri" w:cs="Calibri"/>
          <w:b/>
          <w:sz w:val="24"/>
          <w:szCs w:val="24"/>
          <w:lang w:val="en-US"/>
        </w:rPr>
        <w:t xml:space="preserve">Secondary end points – long-term follow up at 36 </w:t>
      </w:r>
      <w:r>
        <w:rPr>
          <w:rFonts w:ascii="Calibri" w:hAnsi="Calibri" w:cs="Calibri"/>
          <w:b/>
          <w:sz w:val="24"/>
          <w:szCs w:val="24"/>
          <w:lang w:val="en-US"/>
        </w:rPr>
        <w:t xml:space="preserve">or 48 </w:t>
      </w:r>
      <w:r w:rsidRPr="00073179">
        <w:rPr>
          <w:rFonts w:ascii="Calibri" w:hAnsi="Calibri" w:cs="Calibri"/>
          <w:b/>
          <w:sz w:val="24"/>
          <w:szCs w:val="24"/>
          <w:lang w:val="en-US"/>
        </w:rPr>
        <w:t>months</w:t>
      </w:r>
    </w:p>
    <w:p w:rsidR="00FC0CB8" w:rsidRPr="00F7531E" w:rsidRDefault="00FC0CB8" w:rsidP="00C82611">
      <w:pPr>
        <w:spacing w:line="360" w:lineRule="auto"/>
        <w:jc w:val="both"/>
        <w:rPr>
          <w:rFonts w:ascii="Calibri" w:hAnsi="Calibri"/>
          <w:sz w:val="24"/>
          <w:szCs w:val="24"/>
        </w:rPr>
      </w:pPr>
      <w:r w:rsidRPr="00F7531E">
        <w:rPr>
          <w:rFonts w:ascii="Calibri" w:hAnsi="Calibri" w:cs="Calibri"/>
          <w:sz w:val="24"/>
          <w:szCs w:val="24"/>
          <w:lang w:val="en-US"/>
        </w:rPr>
        <w:sym w:font="Wingdings" w:char="F09F"/>
      </w:r>
      <w:r w:rsidRPr="00F7531E">
        <w:rPr>
          <w:rFonts w:ascii="Calibri" w:hAnsi="Calibri"/>
          <w:sz w:val="24"/>
          <w:szCs w:val="24"/>
        </w:rPr>
        <w:t>Cumulative patient and graft survival (defined as death or graft loss)</w:t>
      </w:r>
      <w:r>
        <w:rPr>
          <w:rFonts w:ascii="Calibri" w:hAnsi="Calibri"/>
          <w:sz w:val="24"/>
          <w:szCs w:val="24"/>
        </w:rPr>
        <w:t xml:space="preserve"> at 36 and 48 months.</w:t>
      </w:r>
    </w:p>
    <w:p w:rsidR="00FC0CB8" w:rsidRDefault="00FC0CB8" w:rsidP="00C82611">
      <w:pPr>
        <w:spacing w:line="360" w:lineRule="auto"/>
        <w:jc w:val="both"/>
        <w:rPr>
          <w:rFonts w:ascii="Calibri" w:hAnsi="Calibri"/>
          <w:sz w:val="24"/>
          <w:szCs w:val="24"/>
        </w:rPr>
      </w:pPr>
      <w:r w:rsidRPr="00F7531E">
        <w:rPr>
          <w:rFonts w:ascii="Calibri" w:hAnsi="Calibri" w:cs="Calibri"/>
          <w:sz w:val="24"/>
          <w:szCs w:val="24"/>
          <w:lang w:val="en-US"/>
        </w:rPr>
        <w:sym w:font="Wingdings" w:char="F09F"/>
      </w:r>
      <w:r w:rsidRPr="00C82611">
        <w:rPr>
          <w:rFonts w:ascii="Calibri" w:hAnsi="Calibri" w:cs="Calibri"/>
          <w:sz w:val="24"/>
          <w:szCs w:val="24"/>
          <w:lang w:val="en-US"/>
        </w:rPr>
        <w:t>R</w:t>
      </w:r>
      <w:r w:rsidRPr="00C82611">
        <w:rPr>
          <w:rFonts w:ascii="Calibri" w:hAnsi="Calibri"/>
          <w:sz w:val="24"/>
          <w:szCs w:val="24"/>
        </w:rPr>
        <w:t>enal function assessed by serum creatinine and estimated glomerular filtration rate calculated by MDRD7 formula)</w:t>
      </w:r>
      <w:r w:rsidRPr="00073179">
        <w:rPr>
          <w:rFonts w:ascii="Calibri" w:hAnsi="Calibri"/>
          <w:sz w:val="24"/>
          <w:szCs w:val="24"/>
        </w:rPr>
        <w:t xml:space="preserve"> </w:t>
      </w:r>
      <w:r>
        <w:rPr>
          <w:rFonts w:ascii="Calibri" w:hAnsi="Calibri"/>
          <w:sz w:val="24"/>
          <w:szCs w:val="24"/>
        </w:rPr>
        <w:t>at 36 and 48 months.</w:t>
      </w:r>
    </w:p>
    <w:p w:rsidR="00FC0CB8" w:rsidRPr="00224379" w:rsidRDefault="00FC0CB8" w:rsidP="00C82611">
      <w:pPr>
        <w:spacing w:line="360" w:lineRule="auto"/>
        <w:jc w:val="both"/>
        <w:rPr>
          <w:rFonts w:ascii="Calibri" w:hAnsi="Calibri" w:cs="Calibri"/>
          <w:sz w:val="24"/>
          <w:szCs w:val="24"/>
          <w:lang w:val="en-US"/>
        </w:rPr>
      </w:pPr>
      <w:r w:rsidRPr="00F7531E">
        <w:rPr>
          <w:rFonts w:ascii="Calibri" w:hAnsi="Calibri" w:cs="Calibri"/>
          <w:sz w:val="24"/>
          <w:szCs w:val="24"/>
          <w:lang w:val="en-US"/>
        </w:rPr>
        <w:sym w:font="Wingdings" w:char="F09F"/>
      </w:r>
      <w:proofErr w:type="gramStart"/>
      <w:r>
        <w:rPr>
          <w:rFonts w:ascii="Calibri" w:hAnsi="Calibri" w:cs="Calibri"/>
          <w:sz w:val="24"/>
          <w:szCs w:val="24"/>
          <w:lang w:val="en-US"/>
        </w:rPr>
        <w:t xml:space="preserve">Daily urine protein excretion and protein/creatinine ratio </w:t>
      </w:r>
      <w:r>
        <w:rPr>
          <w:rFonts w:ascii="Calibri" w:hAnsi="Calibri"/>
          <w:sz w:val="24"/>
          <w:szCs w:val="24"/>
        </w:rPr>
        <w:t>at 36 months.</w:t>
      </w:r>
      <w:proofErr w:type="gramEnd"/>
    </w:p>
    <w:p w:rsidR="00FC0CB8" w:rsidRDefault="00FC0CB8" w:rsidP="00C82611">
      <w:pPr>
        <w:pStyle w:val="Zkladntext2"/>
        <w:spacing w:after="0" w:line="360" w:lineRule="auto"/>
        <w:jc w:val="both"/>
        <w:rPr>
          <w:rFonts w:ascii="Calibri" w:hAnsi="Calibri"/>
          <w:sz w:val="24"/>
          <w:szCs w:val="24"/>
        </w:rPr>
      </w:pPr>
      <w:r w:rsidRPr="00C82611">
        <w:rPr>
          <w:rFonts w:ascii="Calibri" w:hAnsi="Calibri" w:cs="Calibri"/>
          <w:sz w:val="24"/>
          <w:szCs w:val="24"/>
          <w:lang w:val="en-US"/>
        </w:rPr>
        <w:sym w:font="Wingdings" w:char="F09F"/>
      </w:r>
      <w:r w:rsidRPr="00C82611">
        <w:rPr>
          <w:rFonts w:ascii="Calibri" w:hAnsi="Calibri"/>
          <w:sz w:val="24"/>
          <w:szCs w:val="24"/>
        </w:rPr>
        <w:t>Late onset CMV disease (defined by clinical symptoms + presence of CMV viremia by</w:t>
      </w:r>
      <w:r>
        <w:rPr>
          <w:rFonts w:ascii="Calibri" w:hAnsi="Calibri"/>
          <w:sz w:val="24"/>
          <w:szCs w:val="24"/>
        </w:rPr>
        <w:t xml:space="preserve"> quantitative PCR CMV DNA test) at 36 months.</w:t>
      </w:r>
    </w:p>
    <w:p w:rsidR="00FC0CB8" w:rsidRDefault="00FC0CB8" w:rsidP="002B5E48">
      <w:pPr>
        <w:spacing w:line="360" w:lineRule="auto"/>
        <w:jc w:val="both"/>
        <w:rPr>
          <w:rFonts w:ascii="Calibri" w:hAnsi="Calibri"/>
          <w:sz w:val="24"/>
          <w:szCs w:val="24"/>
        </w:rPr>
      </w:pPr>
      <w:r w:rsidRPr="00674491">
        <w:rPr>
          <w:rFonts w:ascii="Calibri" w:hAnsi="Calibri" w:cs="Calibri"/>
          <w:sz w:val="24"/>
          <w:szCs w:val="24"/>
          <w:lang w:val="en-US"/>
        </w:rPr>
        <w:sym w:font="Wingdings" w:char="F09F"/>
      </w:r>
      <w:r w:rsidRPr="00674491">
        <w:rPr>
          <w:rFonts w:ascii="Calibri" w:hAnsi="Calibri"/>
          <w:sz w:val="24"/>
          <w:szCs w:val="24"/>
          <w:lang w:val="en-US"/>
        </w:rPr>
        <w:t>Cumulative incidence of CMV infection (viremia) defined by positive PCR for CMV DNA in whole blood</w:t>
      </w:r>
      <w:r>
        <w:rPr>
          <w:rFonts w:ascii="Calibri" w:hAnsi="Calibri"/>
          <w:sz w:val="24"/>
          <w:szCs w:val="24"/>
          <w:lang w:val="en-US"/>
        </w:rPr>
        <w:t xml:space="preserve"> </w:t>
      </w:r>
      <w:r>
        <w:rPr>
          <w:rFonts w:ascii="Calibri" w:hAnsi="Calibri"/>
          <w:sz w:val="24"/>
          <w:szCs w:val="24"/>
        </w:rPr>
        <w:t>at 24 months.</w:t>
      </w:r>
    </w:p>
    <w:p w:rsidR="00FC0CB8" w:rsidRPr="00674491" w:rsidRDefault="00FC0CB8" w:rsidP="00A97B7F">
      <w:pPr>
        <w:spacing w:line="360" w:lineRule="auto"/>
        <w:jc w:val="both"/>
        <w:rPr>
          <w:rFonts w:ascii="Calibri" w:hAnsi="Calibri"/>
          <w:sz w:val="24"/>
          <w:szCs w:val="24"/>
          <w:lang w:val="en-US"/>
        </w:rPr>
      </w:pPr>
      <w:r w:rsidRPr="00674491">
        <w:rPr>
          <w:rFonts w:ascii="Calibri" w:hAnsi="Calibri" w:cs="Calibri"/>
          <w:sz w:val="24"/>
          <w:szCs w:val="24"/>
          <w:lang w:val="en-US"/>
        </w:rPr>
        <w:sym w:font="Wingdings" w:char="F09F"/>
      </w:r>
      <w:proofErr w:type="gramStart"/>
      <w:r w:rsidRPr="00674491">
        <w:rPr>
          <w:rFonts w:ascii="Calibri" w:hAnsi="Calibri"/>
          <w:sz w:val="24"/>
          <w:szCs w:val="24"/>
          <w:lang w:val="en-US"/>
        </w:rPr>
        <w:t>Level of CMV-specific T cell immunity assessed by Elispot-Fluorospot</w:t>
      </w:r>
      <w:r>
        <w:rPr>
          <w:rFonts w:ascii="Calibri" w:hAnsi="Calibri"/>
          <w:sz w:val="24"/>
          <w:szCs w:val="24"/>
          <w:lang w:val="en-US"/>
        </w:rPr>
        <w:t xml:space="preserve"> </w:t>
      </w:r>
      <w:r>
        <w:rPr>
          <w:rFonts w:ascii="Calibri" w:hAnsi="Calibri"/>
          <w:sz w:val="24"/>
          <w:szCs w:val="24"/>
        </w:rPr>
        <w:t>at 36 months.</w:t>
      </w:r>
      <w:proofErr w:type="gramEnd"/>
    </w:p>
    <w:p w:rsidR="00FC0CB8" w:rsidRDefault="00FC0CB8" w:rsidP="00A97B7F">
      <w:pPr>
        <w:spacing w:line="360" w:lineRule="auto"/>
        <w:jc w:val="both"/>
        <w:rPr>
          <w:rFonts w:ascii="Calibri" w:hAnsi="Calibri"/>
          <w:sz w:val="24"/>
          <w:szCs w:val="24"/>
          <w:lang w:val="en-US"/>
        </w:rPr>
      </w:pPr>
      <w:r w:rsidRPr="00674491">
        <w:rPr>
          <w:rFonts w:ascii="Calibri" w:hAnsi="Calibri" w:cs="Calibri"/>
          <w:sz w:val="24"/>
          <w:szCs w:val="24"/>
          <w:lang w:val="en-US"/>
        </w:rPr>
        <w:sym w:font="Wingdings" w:char="F09F"/>
      </w:r>
      <w:proofErr w:type="gramStart"/>
      <w:r w:rsidRPr="00674491">
        <w:rPr>
          <w:rFonts w:ascii="Calibri" w:hAnsi="Calibri"/>
          <w:sz w:val="24"/>
          <w:szCs w:val="24"/>
          <w:lang w:val="en-US"/>
        </w:rPr>
        <w:t>Level of alloreactive T cell im</w:t>
      </w:r>
      <w:r>
        <w:rPr>
          <w:rFonts w:ascii="Calibri" w:hAnsi="Calibri"/>
          <w:sz w:val="24"/>
          <w:szCs w:val="24"/>
          <w:lang w:val="en-US"/>
        </w:rPr>
        <w:t>m</w:t>
      </w:r>
      <w:r w:rsidRPr="00674491">
        <w:rPr>
          <w:rFonts w:ascii="Calibri" w:hAnsi="Calibri"/>
          <w:sz w:val="24"/>
          <w:szCs w:val="24"/>
          <w:lang w:val="en-US"/>
        </w:rPr>
        <w:t xml:space="preserve">unity </w:t>
      </w:r>
      <w:r>
        <w:rPr>
          <w:rFonts w:ascii="Calibri" w:hAnsi="Calibri"/>
          <w:sz w:val="24"/>
          <w:szCs w:val="24"/>
          <w:lang w:val="en-US"/>
        </w:rPr>
        <w:t xml:space="preserve">assessed by Elispot-Flurospot </w:t>
      </w:r>
      <w:r>
        <w:rPr>
          <w:rFonts w:ascii="Calibri" w:hAnsi="Calibri"/>
          <w:sz w:val="24"/>
          <w:szCs w:val="24"/>
        </w:rPr>
        <w:t>at 36 months</w:t>
      </w:r>
      <w:r>
        <w:rPr>
          <w:rFonts w:ascii="Calibri" w:hAnsi="Calibri"/>
          <w:sz w:val="24"/>
          <w:szCs w:val="24"/>
          <w:lang w:val="en-US"/>
        </w:rPr>
        <w:t>.</w:t>
      </w:r>
      <w:proofErr w:type="gramEnd"/>
    </w:p>
    <w:p w:rsidR="00FC0CB8" w:rsidRPr="002B5E48" w:rsidRDefault="00FC0CB8" w:rsidP="002B5E48">
      <w:pPr>
        <w:spacing w:line="360" w:lineRule="auto"/>
        <w:jc w:val="both"/>
        <w:rPr>
          <w:rFonts w:ascii="Calibri" w:hAnsi="Calibri"/>
          <w:sz w:val="24"/>
          <w:szCs w:val="24"/>
          <w:lang w:val="en-US"/>
        </w:rPr>
      </w:pPr>
      <w:r w:rsidRPr="00674491">
        <w:rPr>
          <w:rFonts w:ascii="Calibri" w:hAnsi="Calibri" w:cs="Calibri"/>
          <w:sz w:val="24"/>
          <w:szCs w:val="24"/>
          <w:lang w:val="en-US"/>
        </w:rPr>
        <w:sym w:font="Wingdings" w:char="F09F"/>
      </w:r>
      <w:proofErr w:type="gramStart"/>
      <w:r>
        <w:rPr>
          <w:rFonts w:ascii="Calibri" w:hAnsi="Calibri"/>
          <w:sz w:val="24"/>
          <w:szCs w:val="24"/>
          <w:lang w:val="en-US"/>
        </w:rPr>
        <w:t>Cumulative incidence of donor specific antibodies assessed by SAB Luminex</w:t>
      </w:r>
      <w:r w:rsidRPr="00A97B7F">
        <w:rPr>
          <w:rFonts w:ascii="Calibri" w:hAnsi="Calibri"/>
          <w:sz w:val="24"/>
          <w:szCs w:val="24"/>
        </w:rPr>
        <w:t xml:space="preserve"> </w:t>
      </w:r>
      <w:r>
        <w:rPr>
          <w:rFonts w:ascii="Calibri" w:hAnsi="Calibri"/>
          <w:sz w:val="24"/>
          <w:szCs w:val="24"/>
        </w:rPr>
        <w:t>at 36 months.</w:t>
      </w:r>
      <w:proofErr w:type="gramEnd"/>
    </w:p>
    <w:p w:rsidR="00FC0CB8" w:rsidRPr="00332B77" w:rsidRDefault="00FC0CB8" w:rsidP="00C82611">
      <w:pPr>
        <w:spacing w:line="360" w:lineRule="auto"/>
        <w:jc w:val="both"/>
        <w:rPr>
          <w:rFonts w:ascii="Calibri" w:hAnsi="Calibri"/>
          <w:sz w:val="24"/>
          <w:szCs w:val="24"/>
        </w:rPr>
      </w:pPr>
      <w:r w:rsidRPr="00332B77">
        <w:rPr>
          <w:rFonts w:ascii="Calibri" w:hAnsi="Calibri" w:cs="Calibri"/>
          <w:sz w:val="24"/>
          <w:szCs w:val="24"/>
          <w:lang w:val="en-US"/>
        </w:rPr>
        <w:sym w:font="Wingdings" w:char="F09F"/>
      </w:r>
      <w:proofErr w:type="gramStart"/>
      <w:r w:rsidRPr="00332B77">
        <w:rPr>
          <w:rFonts w:ascii="Calibri" w:hAnsi="Calibri" w:cs="Calibri"/>
          <w:sz w:val="24"/>
          <w:szCs w:val="24"/>
          <w:lang w:val="en-US"/>
        </w:rPr>
        <w:t xml:space="preserve">Incidence of </w:t>
      </w:r>
      <w:r w:rsidRPr="00332B77">
        <w:rPr>
          <w:rFonts w:ascii="Calibri" w:hAnsi="Calibri"/>
          <w:sz w:val="24"/>
          <w:szCs w:val="24"/>
        </w:rPr>
        <w:t>other infection</w:t>
      </w:r>
      <w:r>
        <w:rPr>
          <w:rFonts w:ascii="Calibri" w:hAnsi="Calibri"/>
          <w:sz w:val="24"/>
          <w:szCs w:val="24"/>
        </w:rPr>
        <w:t xml:space="preserve"> at 36 months.</w:t>
      </w:r>
      <w:proofErr w:type="gramEnd"/>
    </w:p>
    <w:p w:rsidR="00FC0CB8" w:rsidRPr="002B32A3" w:rsidRDefault="00FC0CB8" w:rsidP="00C82611">
      <w:pPr>
        <w:tabs>
          <w:tab w:val="left" w:pos="7300"/>
        </w:tabs>
        <w:spacing w:line="360" w:lineRule="auto"/>
        <w:ind w:left="567"/>
        <w:jc w:val="both"/>
        <w:rPr>
          <w:rFonts w:ascii="Calibri" w:hAnsi="Calibri"/>
        </w:rPr>
      </w:pPr>
      <w:r>
        <w:rPr>
          <w:rFonts w:ascii="Calibri" w:hAnsi="Calibri"/>
        </w:rPr>
        <w:lastRenderedPageBreak/>
        <w:t>Particular interest will be given to other herpes virus inefction (HSV, VZV, HHV6, HHV7, EBV), other viral infections, polyomavirus viremia/nephropathy, fungal infection (candida, aspergillus, pneumocystis, etc.), sepsis, urinary tract infection, pneumonia.</w:t>
      </w:r>
    </w:p>
    <w:p w:rsidR="00FC0CB8" w:rsidRPr="00F7531E" w:rsidRDefault="00FC0CB8" w:rsidP="00C82611">
      <w:pPr>
        <w:spacing w:line="360" w:lineRule="auto"/>
        <w:jc w:val="both"/>
        <w:rPr>
          <w:rFonts w:ascii="Calibri" w:hAnsi="Calibri"/>
          <w:sz w:val="24"/>
          <w:szCs w:val="24"/>
        </w:rPr>
      </w:pPr>
      <w:r w:rsidRPr="00F7531E">
        <w:rPr>
          <w:rFonts w:ascii="Calibri" w:hAnsi="Calibri" w:cs="Calibri"/>
          <w:sz w:val="24"/>
          <w:szCs w:val="24"/>
          <w:lang w:val="en-US"/>
        </w:rPr>
        <w:sym w:font="Wingdings" w:char="F09F"/>
      </w:r>
      <w:proofErr w:type="gramStart"/>
      <w:r w:rsidRPr="00F7531E">
        <w:rPr>
          <w:rFonts w:ascii="Calibri" w:hAnsi="Calibri" w:cs="Calibri"/>
          <w:sz w:val="24"/>
          <w:szCs w:val="24"/>
          <w:lang w:val="en-US"/>
        </w:rPr>
        <w:t xml:space="preserve">Incidence of </w:t>
      </w:r>
      <w:r w:rsidRPr="00F7531E">
        <w:rPr>
          <w:rFonts w:ascii="Calibri" w:hAnsi="Calibri"/>
          <w:sz w:val="24"/>
          <w:szCs w:val="24"/>
        </w:rPr>
        <w:t>adverse events</w:t>
      </w:r>
      <w:r>
        <w:rPr>
          <w:rFonts w:ascii="Calibri" w:hAnsi="Calibri"/>
          <w:sz w:val="24"/>
          <w:szCs w:val="24"/>
        </w:rPr>
        <w:t xml:space="preserve"> at 36 months.</w:t>
      </w:r>
      <w:proofErr w:type="gramEnd"/>
    </w:p>
    <w:p w:rsidR="00FC0CB8" w:rsidRPr="00F7531E" w:rsidRDefault="00FC0CB8" w:rsidP="00C82611">
      <w:pPr>
        <w:tabs>
          <w:tab w:val="left" w:pos="7300"/>
        </w:tabs>
        <w:spacing w:line="360" w:lineRule="auto"/>
        <w:ind w:left="567"/>
        <w:jc w:val="both"/>
        <w:rPr>
          <w:rFonts w:ascii="Calibri" w:hAnsi="Calibri"/>
        </w:rPr>
      </w:pPr>
      <w:r w:rsidRPr="00F7531E">
        <w:rPr>
          <w:rFonts w:ascii="Calibri" w:hAnsi="Calibri"/>
        </w:rPr>
        <w:t>Particular interest will be given to new-onset post transplant diabetes, new-onset malignancy, cardiovascular events. </w:t>
      </w:r>
    </w:p>
    <w:p w:rsidR="00FC0CB8" w:rsidRPr="00B30BB8" w:rsidRDefault="00FC0CB8" w:rsidP="00C325FB">
      <w:pPr>
        <w:spacing w:line="360" w:lineRule="auto"/>
        <w:jc w:val="both"/>
        <w:rPr>
          <w:rFonts w:ascii="Calibri" w:hAnsi="Calibri" w:cs="Calibri"/>
          <w:b/>
          <w:sz w:val="24"/>
          <w:szCs w:val="24"/>
          <w:lang w:val="en-US"/>
        </w:rPr>
      </w:pPr>
    </w:p>
    <w:p w:rsidR="00FC0CB8" w:rsidRDefault="00FC0CB8" w:rsidP="00595F81">
      <w:pPr>
        <w:spacing w:line="360" w:lineRule="auto"/>
        <w:jc w:val="both"/>
        <w:rPr>
          <w:rFonts w:ascii="Calibri" w:hAnsi="Calibri" w:cs="Calibri"/>
          <w:b/>
          <w:sz w:val="24"/>
          <w:szCs w:val="24"/>
          <w:lang w:val="en-US"/>
        </w:rPr>
      </w:pPr>
      <w:r w:rsidRPr="00595F81">
        <w:rPr>
          <w:rFonts w:ascii="Calibri" w:hAnsi="Calibri" w:cs="Calibri"/>
          <w:b/>
          <w:sz w:val="24"/>
          <w:szCs w:val="24"/>
          <w:lang w:val="en-US"/>
        </w:rPr>
        <w:t>Pharmacoeconomic analysis</w:t>
      </w:r>
    </w:p>
    <w:p w:rsidR="00FC0CB8" w:rsidRPr="00595F81" w:rsidRDefault="00FC0CB8" w:rsidP="00595F81">
      <w:pPr>
        <w:spacing w:line="360" w:lineRule="auto"/>
        <w:jc w:val="both"/>
        <w:rPr>
          <w:rFonts w:ascii="Calibri" w:hAnsi="Calibri"/>
          <w:sz w:val="24"/>
          <w:highlight w:val="cyan"/>
          <w:lang w:val="en-US"/>
        </w:rPr>
      </w:pPr>
      <w:r w:rsidRPr="00595F81">
        <w:rPr>
          <w:rFonts w:ascii="Calibri" w:hAnsi="Calibri"/>
          <w:sz w:val="24"/>
          <w:lang w:val="en-US"/>
        </w:rPr>
        <w:t>Actual expenses incurred directly in connection with CMV management will be analyzed</w:t>
      </w:r>
      <w:r>
        <w:rPr>
          <w:rFonts w:ascii="Calibri" w:hAnsi="Calibri"/>
          <w:sz w:val="24"/>
          <w:lang w:val="en-US"/>
        </w:rPr>
        <w:t xml:space="preserve"> during first year afgter transplantation. Calculations include</w:t>
      </w:r>
      <w:r w:rsidRPr="00595F81">
        <w:rPr>
          <w:rFonts w:ascii="Calibri" w:hAnsi="Calibri"/>
          <w:sz w:val="24"/>
          <w:lang w:val="en-US"/>
        </w:rPr>
        <w:t xml:space="preserve"> prices of drugs administered for prophylaxis </w:t>
      </w:r>
      <w:r>
        <w:rPr>
          <w:rFonts w:ascii="Calibri" w:hAnsi="Calibri"/>
          <w:sz w:val="24"/>
          <w:lang w:val="en-US"/>
        </w:rPr>
        <w:t>or for</w:t>
      </w:r>
      <w:r w:rsidRPr="00595F81">
        <w:rPr>
          <w:rFonts w:ascii="Calibri" w:hAnsi="Calibri"/>
          <w:sz w:val="24"/>
          <w:lang w:val="en-US"/>
        </w:rPr>
        <w:t xml:space="preserve"> pre</w:t>
      </w:r>
      <w:r>
        <w:rPr>
          <w:rFonts w:ascii="Calibri" w:hAnsi="Calibri"/>
          <w:sz w:val="24"/>
          <w:lang w:val="en-US"/>
        </w:rPr>
        <w:t>-</w:t>
      </w:r>
      <w:r w:rsidRPr="00595F81">
        <w:rPr>
          <w:rFonts w:ascii="Calibri" w:hAnsi="Calibri"/>
          <w:sz w:val="24"/>
          <w:lang w:val="en-US"/>
        </w:rPr>
        <w:t>emptive therapy, PCR monitoring, diagnostic procedures in CMV activation (routine laboratory tests, CMV pp65 antigenemia, CMV blood culture, CMV serology), and CMV disease. The cost of hospitalization due to CMV disease will be calculated. Costs of PCR monitoring during prophylaxis were not included in the prophylaxis group. A</w:t>
      </w:r>
      <w:r>
        <w:rPr>
          <w:rFonts w:ascii="Calibri" w:hAnsi="Calibri"/>
          <w:sz w:val="24"/>
          <w:lang w:val="en-US"/>
        </w:rPr>
        <w:t xml:space="preserve">ll costs will correspond to 2015 </w:t>
      </w:r>
      <w:r w:rsidRPr="00595F81">
        <w:rPr>
          <w:rFonts w:ascii="Calibri" w:hAnsi="Calibri"/>
          <w:sz w:val="24"/>
          <w:lang w:val="en-US"/>
        </w:rPr>
        <w:t>prices (=end of short-term study) while considering the effect of inflation. Sensitivity analyses will be calculated assuming low/high drug costs and low/high PCR costs. Patients with graft loss within 2 weeks in conjuction with immunosuppression and CMV preventive regimen withdrawal will be excluded from economic evaluation.</w:t>
      </w:r>
    </w:p>
    <w:p w:rsidR="00FC0CB8" w:rsidRDefault="00FC0CB8" w:rsidP="00595F81">
      <w:pPr>
        <w:spacing w:line="360" w:lineRule="auto"/>
        <w:jc w:val="both"/>
        <w:rPr>
          <w:rFonts w:ascii="Calibri" w:hAnsi="Calibri" w:cs="Calibri"/>
          <w:b/>
          <w:sz w:val="24"/>
          <w:szCs w:val="24"/>
          <w:lang w:val="en-US"/>
        </w:rPr>
      </w:pPr>
    </w:p>
    <w:p w:rsidR="00FC0CB8" w:rsidRPr="00B30BB8" w:rsidRDefault="00FC0CB8" w:rsidP="003F2FDA">
      <w:pPr>
        <w:spacing w:line="360" w:lineRule="auto"/>
        <w:jc w:val="both"/>
        <w:rPr>
          <w:rFonts w:ascii="Calibri" w:hAnsi="Calibri" w:cs="Calibri"/>
          <w:b/>
          <w:sz w:val="24"/>
          <w:szCs w:val="24"/>
          <w:lang w:val="en-US"/>
        </w:rPr>
      </w:pPr>
      <w:r>
        <w:rPr>
          <w:rFonts w:ascii="Calibri" w:hAnsi="Calibri" w:cs="Calibri"/>
          <w:b/>
          <w:sz w:val="24"/>
          <w:szCs w:val="24"/>
          <w:lang w:val="en-US"/>
        </w:rPr>
        <w:br w:type="page"/>
      </w:r>
      <w:r>
        <w:rPr>
          <w:rFonts w:ascii="Calibri" w:hAnsi="Calibri" w:cs="Calibri"/>
          <w:b/>
          <w:sz w:val="24"/>
          <w:szCs w:val="24"/>
          <w:lang w:val="en-US"/>
        </w:rPr>
        <w:lastRenderedPageBreak/>
        <w:t>Definition of</w:t>
      </w:r>
      <w:r w:rsidRPr="00B30BB8">
        <w:rPr>
          <w:rFonts w:ascii="Calibri" w:hAnsi="Calibri" w:cs="Calibri"/>
          <w:b/>
          <w:sz w:val="24"/>
          <w:szCs w:val="24"/>
          <w:lang w:val="en-US"/>
        </w:rPr>
        <w:t xml:space="preserve"> CMV </w:t>
      </w:r>
      <w:r>
        <w:rPr>
          <w:rFonts w:ascii="Calibri" w:hAnsi="Calibri" w:cs="Calibri"/>
          <w:b/>
          <w:sz w:val="24"/>
          <w:szCs w:val="24"/>
          <w:lang w:val="en-US"/>
        </w:rPr>
        <w:t>viremia</w:t>
      </w:r>
      <w:r w:rsidRPr="00B30BB8">
        <w:rPr>
          <w:rFonts w:ascii="Calibri" w:hAnsi="Calibri" w:cs="Calibri"/>
          <w:b/>
          <w:sz w:val="24"/>
          <w:szCs w:val="24"/>
          <w:lang w:val="en-US"/>
        </w:rPr>
        <w:t xml:space="preserve"> </w:t>
      </w:r>
    </w:p>
    <w:p w:rsidR="00FC0CB8" w:rsidRDefault="00FC0CB8" w:rsidP="003F2FDA">
      <w:pPr>
        <w:spacing w:line="360" w:lineRule="auto"/>
        <w:jc w:val="both"/>
        <w:rPr>
          <w:rFonts w:ascii="Calibri" w:hAnsi="Calibri" w:cs="Calibri"/>
          <w:sz w:val="24"/>
          <w:szCs w:val="24"/>
          <w:lang w:val="en-US"/>
        </w:rPr>
      </w:pPr>
      <w:r w:rsidRPr="00332B77">
        <w:rPr>
          <w:rFonts w:ascii="Calibri" w:hAnsi="Calibri" w:cs="Calibri"/>
          <w:sz w:val="24"/>
          <w:szCs w:val="24"/>
          <w:lang w:val="en-US"/>
        </w:rPr>
        <w:sym w:font="Wingdings" w:char="F09F"/>
      </w:r>
      <w:r>
        <w:rPr>
          <w:rFonts w:ascii="Calibri" w:hAnsi="Calibri" w:cs="Calibri"/>
          <w:sz w:val="24"/>
          <w:szCs w:val="24"/>
          <w:lang w:val="en-US"/>
        </w:rPr>
        <w:t>Positive result of quantitative PCR for CMV</w:t>
      </w:r>
      <w:r w:rsidRPr="00B30BB8">
        <w:rPr>
          <w:rFonts w:ascii="Calibri" w:hAnsi="Calibri" w:cs="Calibri"/>
          <w:sz w:val="24"/>
          <w:szCs w:val="24"/>
          <w:lang w:val="en-US"/>
        </w:rPr>
        <w:t xml:space="preserve"> DNA </w:t>
      </w:r>
      <w:r>
        <w:rPr>
          <w:rFonts w:ascii="Calibri" w:hAnsi="Calibri" w:cs="Calibri"/>
          <w:sz w:val="24"/>
          <w:szCs w:val="24"/>
          <w:lang w:val="en-US"/>
        </w:rPr>
        <w:t>in whole blood (lower detection limit = 50 IU/mL)</w:t>
      </w:r>
    </w:p>
    <w:p w:rsidR="00FC0CB8" w:rsidRPr="00C62E85" w:rsidRDefault="00FC0CB8" w:rsidP="00344D69">
      <w:pPr>
        <w:spacing w:line="360" w:lineRule="auto"/>
        <w:ind w:left="567"/>
        <w:jc w:val="both"/>
        <w:rPr>
          <w:rFonts w:ascii="Calibri" w:hAnsi="Calibri" w:cs="Calibri"/>
          <w:lang w:val="en-US"/>
        </w:rPr>
      </w:pPr>
      <w:r w:rsidRPr="00C62E85">
        <w:rPr>
          <w:rFonts w:ascii="Calibri" w:hAnsi="Calibri" w:cs="Calibri"/>
          <w:lang w:val="en-US"/>
        </w:rPr>
        <w:t>In all cases of CMV viremia, other confirmation tests are recommended such as CMV pp65 antigenemia (positive results = ≥ 1 positive cell per 2x10</w:t>
      </w:r>
      <w:r w:rsidRPr="00C62E85">
        <w:rPr>
          <w:rFonts w:ascii="Calibri" w:hAnsi="Calibri" w:cs="Calibri"/>
          <w:vertAlign w:val="superscript"/>
          <w:lang w:val="en-US"/>
        </w:rPr>
        <w:t xml:space="preserve">5 </w:t>
      </w:r>
      <w:r w:rsidRPr="00C62E85">
        <w:rPr>
          <w:rFonts w:ascii="Calibri" w:hAnsi="Calibri" w:cs="Calibri"/>
          <w:lang w:val="en-US"/>
        </w:rPr>
        <w:t>evaluated cells), CMV culture in blood, CMV, EBV, HHV6 serology.</w:t>
      </w:r>
    </w:p>
    <w:p w:rsidR="00FC0CB8" w:rsidRDefault="00FC0CB8" w:rsidP="003F2FDA">
      <w:pPr>
        <w:spacing w:line="360" w:lineRule="auto"/>
        <w:jc w:val="both"/>
        <w:rPr>
          <w:rFonts w:ascii="Calibri" w:hAnsi="Calibri" w:cs="Calibri"/>
          <w:b/>
          <w:sz w:val="24"/>
          <w:szCs w:val="24"/>
          <w:lang w:val="en-US"/>
        </w:rPr>
      </w:pPr>
    </w:p>
    <w:p w:rsidR="00FC0CB8" w:rsidRPr="00B30BB8" w:rsidRDefault="00FC0CB8" w:rsidP="003F2FDA">
      <w:pPr>
        <w:spacing w:line="360" w:lineRule="auto"/>
        <w:jc w:val="both"/>
        <w:rPr>
          <w:rFonts w:ascii="Calibri" w:hAnsi="Calibri" w:cs="Calibri"/>
          <w:b/>
          <w:sz w:val="24"/>
          <w:szCs w:val="24"/>
          <w:lang w:val="en-US"/>
        </w:rPr>
      </w:pPr>
      <w:r>
        <w:rPr>
          <w:rFonts w:ascii="Calibri" w:hAnsi="Calibri" w:cs="Calibri"/>
          <w:b/>
          <w:sz w:val="24"/>
          <w:szCs w:val="24"/>
          <w:lang w:val="en-US"/>
        </w:rPr>
        <w:t>Definition</w:t>
      </w:r>
      <w:r w:rsidRPr="00B30BB8">
        <w:rPr>
          <w:rFonts w:ascii="Calibri" w:hAnsi="Calibri" w:cs="Calibri"/>
          <w:b/>
          <w:sz w:val="24"/>
          <w:szCs w:val="24"/>
          <w:lang w:val="en-US"/>
        </w:rPr>
        <w:t xml:space="preserve"> </w:t>
      </w:r>
      <w:r>
        <w:rPr>
          <w:rFonts w:ascii="Calibri" w:hAnsi="Calibri" w:cs="Calibri"/>
          <w:b/>
          <w:sz w:val="24"/>
          <w:szCs w:val="24"/>
          <w:lang w:val="en-US"/>
        </w:rPr>
        <w:t>of CMV syndrome</w:t>
      </w:r>
    </w:p>
    <w:p w:rsidR="00FC0CB8" w:rsidRPr="007B2DBB" w:rsidRDefault="00FC0CB8" w:rsidP="003F2FDA">
      <w:pPr>
        <w:spacing w:line="360" w:lineRule="auto"/>
        <w:jc w:val="both"/>
        <w:rPr>
          <w:rFonts w:ascii="Calibri" w:hAnsi="Calibri" w:cs="Calibri"/>
          <w:sz w:val="24"/>
          <w:szCs w:val="24"/>
          <w:lang w:val="en-US"/>
        </w:rPr>
      </w:pPr>
      <w:r w:rsidRPr="007B2DBB">
        <w:rPr>
          <w:rFonts w:ascii="Calibri" w:hAnsi="Calibri" w:cs="Calibri"/>
          <w:sz w:val="24"/>
          <w:szCs w:val="24"/>
          <w:lang w:val="en-US"/>
        </w:rPr>
        <w:sym w:font="Wingdings" w:char="F09F"/>
      </w:r>
      <w:r w:rsidRPr="007B2DBB">
        <w:rPr>
          <w:rFonts w:ascii="Calibri" w:hAnsi="Calibri" w:cs="Calibri"/>
          <w:sz w:val="24"/>
          <w:szCs w:val="24"/>
          <w:lang w:val="en-US"/>
        </w:rPr>
        <w:t>S</w:t>
      </w:r>
      <w:r>
        <w:rPr>
          <w:rFonts w:ascii="Calibri" w:hAnsi="Calibri" w:cs="Calibri"/>
          <w:sz w:val="24"/>
          <w:szCs w:val="24"/>
          <w:lang w:val="en-US"/>
        </w:rPr>
        <w:t>ignificant CMV viremia (≥ 1000 IU</w:t>
      </w:r>
      <w:r w:rsidRPr="007B2DBB">
        <w:rPr>
          <w:rFonts w:ascii="Calibri" w:hAnsi="Calibri" w:cs="Calibri"/>
          <w:sz w:val="24"/>
          <w:szCs w:val="24"/>
          <w:lang w:val="en-US"/>
        </w:rPr>
        <w:t>/mL) plus one or more from the following:</w:t>
      </w:r>
    </w:p>
    <w:p w:rsidR="00FC0CB8" w:rsidRPr="00B30BB8" w:rsidRDefault="00FC0CB8" w:rsidP="007B2DBB">
      <w:pPr>
        <w:spacing w:line="360" w:lineRule="auto"/>
        <w:ind w:left="567"/>
        <w:jc w:val="both"/>
        <w:rPr>
          <w:rFonts w:ascii="Calibri" w:hAnsi="Calibri" w:cs="Calibri"/>
          <w:sz w:val="24"/>
          <w:szCs w:val="24"/>
          <w:lang w:val="en-US"/>
        </w:rPr>
      </w:pPr>
      <w:proofErr w:type="gramStart"/>
      <w:r>
        <w:rPr>
          <w:rFonts w:ascii="Calibri" w:hAnsi="Calibri" w:cs="Calibri"/>
          <w:sz w:val="24"/>
          <w:szCs w:val="24"/>
          <w:lang w:val="en-US"/>
        </w:rPr>
        <w:t xml:space="preserve">Fever </w:t>
      </w:r>
      <w:r w:rsidRPr="007B2DBB">
        <w:rPr>
          <w:rFonts w:ascii="Calibri" w:hAnsi="Calibri" w:cs="Calibri"/>
          <w:sz w:val="24"/>
          <w:szCs w:val="24"/>
          <w:lang w:val="en-US"/>
        </w:rPr>
        <w:t>≥</w:t>
      </w:r>
      <w:r>
        <w:rPr>
          <w:rFonts w:ascii="Calibri" w:hAnsi="Calibri" w:cs="Calibri"/>
          <w:sz w:val="24"/>
          <w:szCs w:val="24"/>
          <w:lang w:val="en-US"/>
        </w:rPr>
        <w:t>38</w:t>
      </w:r>
      <w:r w:rsidRPr="00B30BB8">
        <w:rPr>
          <w:rFonts w:ascii="Calibri" w:hAnsi="Calibri" w:cs="Calibri"/>
          <w:sz w:val="24"/>
          <w:szCs w:val="24"/>
          <w:lang w:val="en-US"/>
        </w:rPr>
        <w:t xml:space="preserve">°C </w:t>
      </w:r>
      <w:r>
        <w:rPr>
          <w:rFonts w:ascii="Calibri" w:hAnsi="Calibri" w:cs="Calibri"/>
          <w:sz w:val="24"/>
          <w:szCs w:val="24"/>
          <w:lang w:val="en-US"/>
        </w:rPr>
        <w:t xml:space="preserve">for </w:t>
      </w:r>
      <w:r w:rsidRPr="00B30BB8">
        <w:rPr>
          <w:rFonts w:ascii="Calibri" w:hAnsi="Calibri" w:cs="Calibri"/>
          <w:sz w:val="24"/>
          <w:szCs w:val="24"/>
          <w:lang w:val="en-US"/>
        </w:rPr>
        <w:t xml:space="preserve">2 </w:t>
      </w:r>
      <w:r>
        <w:rPr>
          <w:rFonts w:ascii="Calibri" w:hAnsi="Calibri" w:cs="Calibri"/>
          <w:sz w:val="24"/>
          <w:szCs w:val="24"/>
          <w:lang w:val="en-US"/>
        </w:rPr>
        <w:t>or more days during 7-day period without another explanation.</w:t>
      </w:r>
      <w:proofErr w:type="gramEnd"/>
    </w:p>
    <w:p w:rsidR="00FC0CB8" w:rsidRPr="00B30BB8" w:rsidRDefault="00FC0CB8" w:rsidP="007B2DBB">
      <w:pPr>
        <w:spacing w:line="360" w:lineRule="auto"/>
        <w:ind w:left="567"/>
        <w:jc w:val="both"/>
        <w:rPr>
          <w:rFonts w:ascii="Calibri" w:hAnsi="Calibri" w:cs="Calibri"/>
          <w:sz w:val="24"/>
          <w:szCs w:val="24"/>
          <w:lang w:val="en-US"/>
        </w:rPr>
      </w:pPr>
      <w:proofErr w:type="gramStart"/>
      <w:r>
        <w:rPr>
          <w:rFonts w:ascii="Calibri" w:hAnsi="Calibri" w:cs="Calibri"/>
          <w:sz w:val="24"/>
          <w:szCs w:val="24"/>
          <w:lang w:val="en-US"/>
        </w:rPr>
        <w:t>Leucopenia &lt;4.</w:t>
      </w:r>
      <w:r w:rsidRPr="00B30BB8">
        <w:rPr>
          <w:rFonts w:ascii="Calibri" w:hAnsi="Calibri" w:cs="Calibri"/>
          <w:sz w:val="24"/>
          <w:szCs w:val="24"/>
          <w:lang w:val="en-US"/>
        </w:rPr>
        <w:t>0 x 10</w:t>
      </w:r>
      <w:r w:rsidRPr="00B30BB8">
        <w:rPr>
          <w:rFonts w:ascii="Calibri" w:hAnsi="Calibri" w:cs="Calibri"/>
          <w:sz w:val="24"/>
          <w:szCs w:val="24"/>
          <w:vertAlign w:val="superscript"/>
          <w:lang w:val="en-US"/>
        </w:rPr>
        <w:t>9</w:t>
      </w:r>
      <w:r w:rsidRPr="00B30BB8">
        <w:rPr>
          <w:rFonts w:ascii="Calibri" w:hAnsi="Calibri" w:cs="Calibri"/>
          <w:sz w:val="24"/>
          <w:szCs w:val="24"/>
          <w:lang w:val="en-US"/>
        </w:rPr>
        <w:t xml:space="preserve">/L </w:t>
      </w:r>
      <w:r>
        <w:rPr>
          <w:rFonts w:ascii="Calibri" w:hAnsi="Calibri" w:cs="Calibri"/>
          <w:sz w:val="24"/>
          <w:szCs w:val="24"/>
          <w:lang w:val="en-US"/>
        </w:rPr>
        <w:t xml:space="preserve">in </w:t>
      </w:r>
      <w:r w:rsidRPr="00B30BB8">
        <w:rPr>
          <w:rFonts w:ascii="Calibri" w:hAnsi="Calibri" w:cs="Calibri"/>
          <w:sz w:val="24"/>
          <w:szCs w:val="24"/>
          <w:lang w:val="en-US"/>
        </w:rPr>
        <w:t xml:space="preserve">2 </w:t>
      </w:r>
      <w:r>
        <w:rPr>
          <w:rFonts w:ascii="Calibri" w:hAnsi="Calibri" w:cs="Calibri"/>
          <w:sz w:val="24"/>
          <w:szCs w:val="24"/>
          <w:lang w:val="en-US"/>
        </w:rPr>
        <w:t>consecutive samples.</w:t>
      </w:r>
      <w:proofErr w:type="gramEnd"/>
    </w:p>
    <w:p w:rsidR="00FC0CB8" w:rsidRPr="00B30BB8" w:rsidRDefault="00FC0CB8" w:rsidP="007B2DBB">
      <w:pPr>
        <w:spacing w:line="360" w:lineRule="auto"/>
        <w:ind w:left="567"/>
        <w:jc w:val="both"/>
        <w:rPr>
          <w:rFonts w:ascii="Calibri" w:hAnsi="Calibri" w:cs="Calibri"/>
          <w:sz w:val="24"/>
          <w:szCs w:val="24"/>
          <w:lang w:val="en-US"/>
        </w:rPr>
      </w:pPr>
      <w:proofErr w:type="gramStart"/>
      <w:r>
        <w:rPr>
          <w:rFonts w:ascii="Calibri" w:hAnsi="Calibri" w:cs="Calibri"/>
          <w:sz w:val="24"/>
          <w:szCs w:val="24"/>
          <w:lang w:val="en-US"/>
        </w:rPr>
        <w:t>Thrombocytopenia &lt;</w:t>
      </w:r>
      <w:r w:rsidRPr="00B30BB8">
        <w:rPr>
          <w:rFonts w:ascii="Calibri" w:hAnsi="Calibri" w:cs="Calibri"/>
          <w:sz w:val="24"/>
          <w:szCs w:val="24"/>
          <w:lang w:val="en-US"/>
        </w:rPr>
        <w:t>150 x 10</w:t>
      </w:r>
      <w:r w:rsidRPr="00B30BB8">
        <w:rPr>
          <w:rFonts w:ascii="Calibri" w:hAnsi="Calibri" w:cs="Calibri"/>
          <w:sz w:val="24"/>
          <w:szCs w:val="24"/>
          <w:vertAlign w:val="superscript"/>
          <w:lang w:val="en-US"/>
        </w:rPr>
        <w:t>9</w:t>
      </w:r>
      <w:r w:rsidRPr="00B30BB8">
        <w:rPr>
          <w:rFonts w:ascii="Calibri" w:hAnsi="Calibri" w:cs="Calibri"/>
          <w:sz w:val="24"/>
          <w:szCs w:val="24"/>
          <w:lang w:val="en-US"/>
        </w:rPr>
        <w:t xml:space="preserve">/L </w:t>
      </w:r>
      <w:r>
        <w:rPr>
          <w:rFonts w:ascii="Calibri" w:hAnsi="Calibri" w:cs="Calibri"/>
          <w:sz w:val="24"/>
          <w:szCs w:val="24"/>
          <w:lang w:val="en-US"/>
        </w:rPr>
        <w:t xml:space="preserve">in </w:t>
      </w:r>
      <w:r w:rsidRPr="00B30BB8">
        <w:rPr>
          <w:rFonts w:ascii="Calibri" w:hAnsi="Calibri" w:cs="Calibri"/>
          <w:sz w:val="24"/>
          <w:szCs w:val="24"/>
          <w:lang w:val="en-US"/>
        </w:rPr>
        <w:t xml:space="preserve">2 </w:t>
      </w:r>
      <w:r>
        <w:rPr>
          <w:rFonts w:ascii="Calibri" w:hAnsi="Calibri" w:cs="Calibri"/>
          <w:sz w:val="24"/>
          <w:szCs w:val="24"/>
          <w:lang w:val="en-US"/>
        </w:rPr>
        <w:t>consecutive samples.</w:t>
      </w:r>
      <w:proofErr w:type="gramEnd"/>
    </w:p>
    <w:p w:rsidR="00FC0CB8" w:rsidRPr="00B30BB8" w:rsidRDefault="00FC0CB8" w:rsidP="007B2DBB">
      <w:pPr>
        <w:spacing w:line="360" w:lineRule="auto"/>
        <w:ind w:left="567"/>
        <w:jc w:val="both"/>
        <w:rPr>
          <w:rFonts w:ascii="Calibri" w:hAnsi="Calibri" w:cs="Calibri"/>
          <w:sz w:val="24"/>
          <w:szCs w:val="24"/>
          <w:lang w:val="en-US"/>
        </w:rPr>
      </w:pPr>
      <w:proofErr w:type="gramStart"/>
      <w:r>
        <w:rPr>
          <w:rFonts w:ascii="Calibri" w:hAnsi="Calibri" w:cs="Calibri"/>
          <w:sz w:val="24"/>
          <w:szCs w:val="24"/>
          <w:lang w:val="en-US"/>
        </w:rPr>
        <w:t>Unexplained new or progression of previously stable malaise.</w:t>
      </w:r>
      <w:proofErr w:type="gramEnd"/>
      <w:r w:rsidRPr="00B30BB8">
        <w:rPr>
          <w:rFonts w:ascii="Calibri" w:hAnsi="Calibri" w:cs="Calibri"/>
          <w:sz w:val="24"/>
          <w:szCs w:val="24"/>
          <w:lang w:val="en-US"/>
        </w:rPr>
        <w:t xml:space="preserve"> </w:t>
      </w:r>
    </w:p>
    <w:p w:rsidR="00FC0CB8" w:rsidRDefault="00FC0CB8" w:rsidP="003F2FDA">
      <w:pPr>
        <w:spacing w:line="360" w:lineRule="auto"/>
        <w:jc w:val="both"/>
        <w:rPr>
          <w:rFonts w:ascii="Calibri" w:hAnsi="Calibri" w:cs="Calibri"/>
          <w:b/>
          <w:sz w:val="24"/>
          <w:szCs w:val="24"/>
          <w:lang w:val="en-US"/>
        </w:rPr>
      </w:pPr>
    </w:p>
    <w:p w:rsidR="00FC0CB8" w:rsidRDefault="00FC0CB8" w:rsidP="003F2FDA">
      <w:pPr>
        <w:spacing w:line="360" w:lineRule="auto"/>
        <w:jc w:val="both"/>
        <w:rPr>
          <w:rFonts w:ascii="Calibri" w:hAnsi="Calibri" w:cs="Calibri"/>
          <w:b/>
          <w:sz w:val="24"/>
          <w:szCs w:val="24"/>
          <w:lang w:val="en-US"/>
        </w:rPr>
      </w:pPr>
      <w:r>
        <w:rPr>
          <w:rFonts w:ascii="Calibri" w:hAnsi="Calibri" w:cs="Calibri"/>
          <w:b/>
          <w:sz w:val="24"/>
          <w:szCs w:val="24"/>
          <w:lang w:val="en-US"/>
        </w:rPr>
        <w:t>Definition</w:t>
      </w:r>
      <w:r w:rsidRPr="00B30BB8">
        <w:rPr>
          <w:rFonts w:ascii="Calibri" w:hAnsi="Calibri" w:cs="Calibri"/>
          <w:b/>
          <w:sz w:val="24"/>
          <w:szCs w:val="24"/>
          <w:lang w:val="en-US"/>
        </w:rPr>
        <w:t xml:space="preserve"> </w:t>
      </w:r>
      <w:r>
        <w:rPr>
          <w:rFonts w:ascii="Calibri" w:hAnsi="Calibri" w:cs="Calibri"/>
          <w:b/>
          <w:sz w:val="24"/>
          <w:szCs w:val="24"/>
          <w:lang w:val="en-US"/>
        </w:rPr>
        <w:t xml:space="preserve">of </w:t>
      </w:r>
      <w:r w:rsidRPr="00B30BB8">
        <w:rPr>
          <w:rFonts w:ascii="Calibri" w:hAnsi="Calibri" w:cs="Calibri"/>
          <w:b/>
          <w:sz w:val="24"/>
          <w:szCs w:val="24"/>
          <w:lang w:val="en-US"/>
        </w:rPr>
        <w:t xml:space="preserve">CMV </w:t>
      </w:r>
      <w:r>
        <w:rPr>
          <w:rFonts w:ascii="Calibri" w:hAnsi="Calibri" w:cs="Calibri"/>
          <w:b/>
          <w:sz w:val="24"/>
          <w:szCs w:val="24"/>
          <w:lang w:val="en-US"/>
        </w:rPr>
        <w:t>tissue-invasive disease</w:t>
      </w:r>
    </w:p>
    <w:p w:rsidR="00FC0CB8" w:rsidRPr="006E462D" w:rsidRDefault="00FC0CB8" w:rsidP="006E462D">
      <w:pPr>
        <w:spacing w:line="360" w:lineRule="auto"/>
        <w:jc w:val="both"/>
        <w:rPr>
          <w:rFonts w:ascii="Calibri" w:hAnsi="Calibri" w:cs="Calibri"/>
          <w:sz w:val="24"/>
          <w:szCs w:val="24"/>
          <w:lang w:val="en-US"/>
        </w:rPr>
      </w:pPr>
      <w:r w:rsidRPr="007B2DBB">
        <w:rPr>
          <w:rFonts w:ascii="Calibri" w:hAnsi="Calibri" w:cs="Calibri"/>
          <w:sz w:val="24"/>
          <w:szCs w:val="24"/>
          <w:lang w:val="en-US"/>
        </w:rPr>
        <w:sym w:font="Wingdings" w:char="F09F"/>
      </w:r>
      <w:r w:rsidRPr="007B2DBB">
        <w:rPr>
          <w:rFonts w:ascii="Calibri" w:hAnsi="Calibri" w:cs="Calibri"/>
          <w:sz w:val="24"/>
          <w:szCs w:val="24"/>
          <w:lang w:val="en-US"/>
        </w:rPr>
        <w:t>S</w:t>
      </w:r>
      <w:r>
        <w:rPr>
          <w:rFonts w:ascii="Calibri" w:hAnsi="Calibri" w:cs="Calibri"/>
          <w:sz w:val="24"/>
          <w:szCs w:val="24"/>
          <w:lang w:val="en-US"/>
        </w:rPr>
        <w:t>ignificant CMV viremia (≥ 1000 IU</w:t>
      </w:r>
      <w:r w:rsidRPr="007B2DBB">
        <w:rPr>
          <w:rFonts w:ascii="Calibri" w:hAnsi="Calibri" w:cs="Calibri"/>
          <w:sz w:val="24"/>
          <w:szCs w:val="24"/>
          <w:lang w:val="en-US"/>
        </w:rPr>
        <w:t>/mL) plus one or more from the following:</w:t>
      </w:r>
    </w:p>
    <w:p w:rsidR="00FC0CB8" w:rsidRPr="00B30BB8" w:rsidRDefault="00FC0CB8" w:rsidP="00080A87">
      <w:pPr>
        <w:spacing w:line="360" w:lineRule="auto"/>
        <w:ind w:left="567"/>
        <w:jc w:val="both"/>
        <w:rPr>
          <w:rFonts w:ascii="Calibri" w:hAnsi="Calibri" w:cs="Calibri"/>
          <w:sz w:val="24"/>
          <w:szCs w:val="24"/>
          <w:lang w:val="en-US"/>
        </w:rPr>
      </w:pPr>
      <w:r>
        <w:rPr>
          <w:rFonts w:ascii="Calibri" w:hAnsi="Calibri" w:cs="Calibri"/>
          <w:sz w:val="24"/>
          <w:szCs w:val="24"/>
          <w:lang w:val="en-US"/>
        </w:rPr>
        <w:t>Pneumonia</w:t>
      </w:r>
      <w:r w:rsidRPr="00B30BB8">
        <w:rPr>
          <w:rFonts w:ascii="Calibri" w:hAnsi="Calibri" w:cs="Calibri"/>
          <w:sz w:val="24"/>
          <w:szCs w:val="24"/>
          <w:lang w:val="en-US"/>
        </w:rPr>
        <w:t xml:space="preserve"> (</w:t>
      </w:r>
      <w:r>
        <w:rPr>
          <w:rFonts w:ascii="Calibri" w:hAnsi="Calibri" w:cs="Calibri"/>
          <w:sz w:val="24"/>
          <w:szCs w:val="24"/>
          <w:lang w:val="en-US"/>
        </w:rPr>
        <w:t>signs and symptoms of pulmonary disease without other cause plus CMV detection in BAL by viral culture, PCR, antigenemia or detection of CMV in lung tissue by IHC analysis or in situ hybridization).</w:t>
      </w:r>
    </w:p>
    <w:p w:rsidR="00FC0CB8" w:rsidRPr="00B30BB8" w:rsidRDefault="00FC0CB8" w:rsidP="00080A87">
      <w:pPr>
        <w:spacing w:line="360" w:lineRule="auto"/>
        <w:ind w:left="567"/>
        <w:jc w:val="both"/>
        <w:rPr>
          <w:rFonts w:ascii="Calibri" w:hAnsi="Calibri" w:cs="Calibri"/>
          <w:sz w:val="24"/>
          <w:szCs w:val="24"/>
          <w:lang w:val="en-US"/>
        </w:rPr>
      </w:pPr>
      <w:proofErr w:type="gramStart"/>
      <w:r>
        <w:rPr>
          <w:rFonts w:ascii="Calibri" w:hAnsi="Calibri" w:cs="Calibri"/>
          <w:sz w:val="24"/>
          <w:szCs w:val="24"/>
          <w:lang w:val="en-US"/>
        </w:rPr>
        <w:t>Hepatitis (elevation of bilirubin or liver enzymes</w:t>
      </w:r>
      <w:r w:rsidRPr="00B30BB8">
        <w:rPr>
          <w:rFonts w:ascii="Calibri" w:hAnsi="Calibri" w:cs="Calibri"/>
          <w:sz w:val="24"/>
          <w:szCs w:val="24"/>
          <w:lang w:val="en-US"/>
        </w:rPr>
        <w:t xml:space="preserve"> </w:t>
      </w:r>
      <w:r>
        <w:rPr>
          <w:rFonts w:ascii="Calibri" w:hAnsi="Calibri" w:cs="Calibri"/>
          <w:sz w:val="24"/>
          <w:szCs w:val="24"/>
          <w:lang w:val="en-US"/>
        </w:rPr>
        <w:t>without other cause plus CMV detection in liver tissue by culture, PCR, IHC analysis or in situ hybridization).</w:t>
      </w:r>
      <w:proofErr w:type="gramEnd"/>
    </w:p>
    <w:p w:rsidR="00FC0CB8" w:rsidRPr="00B30BB8" w:rsidRDefault="00FC0CB8" w:rsidP="00080A87">
      <w:pPr>
        <w:spacing w:line="360" w:lineRule="auto"/>
        <w:ind w:left="567"/>
        <w:jc w:val="both"/>
        <w:rPr>
          <w:rFonts w:ascii="Calibri" w:hAnsi="Calibri" w:cs="Calibri"/>
          <w:sz w:val="24"/>
          <w:szCs w:val="24"/>
          <w:lang w:val="en-US"/>
        </w:rPr>
      </w:pPr>
      <w:proofErr w:type="gramStart"/>
      <w:r>
        <w:rPr>
          <w:rFonts w:ascii="Calibri" w:hAnsi="Calibri" w:cs="Calibri"/>
          <w:sz w:val="24"/>
          <w:szCs w:val="24"/>
          <w:lang w:val="en-US"/>
        </w:rPr>
        <w:t xml:space="preserve">Gastrointestinal disease - </w:t>
      </w:r>
      <w:r w:rsidRPr="00B30BB8">
        <w:rPr>
          <w:rFonts w:ascii="Calibri" w:hAnsi="Calibri" w:cs="Calibri"/>
          <w:sz w:val="24"/>
          <w:szCs w:val="24"/>
          <w:lang w:val="en-US"/>
        </w:rPr>
        <w:t>esophagitis, gastritis, enterocolitis (</w:t>
      </w:r>
      <w:r>
        <w:rPr>
          <w:rFonts w:ascii="Calibri" w:hAnsi="Calibri" w:cs="Calibri"/>
          <w:sz w:val="24"/>
          <w:szCs w:val="24"/>
          <w:lang w:val="en-US"/>
        </w:rPr>
        <w:t>clinical signs of GIT disease plus macroscopic mucosal lesions by endoscop</w:t>
      </w:r>
      <w:r w:rsidRPr="00B30BB8">
        <w:rPr>
          <w:rFonts w:ascii="Calibri" w:hAnsi="Calibri" w:cs="Calibri"/>
          <w:sz w:val="24"/>
          <w:szCs w:val="24"/>
          <w:lang w:val="en-US"/>
        </w:rPr>
        <w:t xml:space="preserve">y </w:t>
      </w:r>
      <w:r>
        <w:rPr>
          <w:rFonts w:ascii="Calibri" w:hAnsi="Calibri" w:cs="Calibri"/>
          <w:sz w:val="24"/>
          <w:szCs w:val="24"/>
          <w:lang w:val="en-US"/>
        </w:rPr>
        <w:t>plus CMV detection in GIT tissue by culture, PCR, IHC analysis).</w:t>
      </w:r>
      <w:proofErr w:type="gramEnd"/>
    </w:p>
    <w:p w:rsidR="00FC0CB8" w:rsidRPr="00B30BB8" w:rsidRDefault="00FC0CB8" w:rsidP="00080A87">
      <w:pPr>
        <w:spacing w:line="360" w:lineRule="auto"/>
        <w:ind w:left="567"/>
        <w:jc w:val="both"/>
        <w:rPr>
          <w:rFonts w:ascii="Calibri" w:hAnsi="Calibri" w:cs="Calibri"/>
          <w:sz w:val="24"/>
          <w:szCs w:val="24"/>
          <w:lang w:val="en-US"/>
        </w:rPr>
      </w:pPr>
      <w:proofErr w:type="gramStart"/>
      <w:r>
        <w:rPr>
          <w:rFonts w:ascii="Calibri" w:hAnsi="Calibri" w:cs="Calibri"/>
          <w:sz w:val="24"/>
          <w:szCs w:val="24"/>
          <w:lang w:val="en-US"/>
        </w:rPr>
        <w:t>P</w:t>
      </w:r>
      <w:r w:rsidRPr="00B30BB8">
        <w:rPr>
          <w:rFonts w:ascii="Calibri" w:hAnsi="Calibri" w:cs="Calibri"/>
          <w:sz w:val="24"/>
          <w:szCs w:val="24"/>
          <w:lang w:val="en-US"/>
        </w:rPr>
        <w:t>ancreatitis (</w:t>
      </w:r>
      <w:r>
        <w:rPr>
          <w:rFonts w:ascii="Calibri" w:hAnsi="Calibri" w:cs="Calibri"/>
          <w:sz w:val="24"/>
          <w:szCs w:val="24"/>
          <w:lang w:val="en-US"/>
        </w:rPr>
        <w:t>clinical plus laboratory plus CT signs of acute pancreatitis).</w:t>
      </w:r>
      <w:proofErr w:type="gramEnd"/>
    </w:p>
    <w:p w:rsidR="00FC0CB8" w:rsidRPr="00B30BB8" w:rsidRDefault="00FC0CB8" w:rsidP="00080A87">
      <w:pPr>
        <w:spacing w:line="360" w:lineRule="auto"/>
        <w:ind w:left="567"/>
        <w:jc w:val="both"/>
        <w:rPr>
          <w:rFonts w:ascii="Calibri" w:hAnsi="Calibri" w:cs="Calibri"/>
          <w:sz w:val="24"/>
          <w:szCs w:val="24"/>
          <w:lang w:val="en-US"/>
        </w:rPr>
      </w:pPr>
      <w:proofErr w:type="gramStart"/>
      <w:r>
        <w:rPr>
          <w:rFonts w:ascii="Calibri" w:hAnsi="Calibri" w:cs="Calibri"/>
          <w:sz w:val="24"/>
          <w:szCs w:val="24"/>
          <w:lang w:val="en-US"/>
        </w:rPr>
        <w:t>Myocarditis (clinical plus ECHO plus EC</w:t>
      </w:r>
      <w:r w:rsidRPr="00B30BB8">
        <w:rPr>
          <w:rFonts w:ascii="Calibri" w:hAnsi="Calibri" w:cs="Calibri"/>
          <w:sz w:val="24"/>
          <w:szCs w:val="24"/>
          <w:lang w:val="en-US"/>
        </w:rPr>
        <w:t xml:space="preserve">G </w:t>
      </w:r>
      <w:r>
        <w:rPr>
          <w:rFonts w:ascii="Calibri" w:hAnsi="Calibri" w:cs="Calibri"/>
          <w:sz w:val="24"/>
          <w:szCs w:val="24"/>
          <w:lang w:val="en-US"/>
        </w:rPr>
        <w:t>signs of myocarditis).</w:t>
      </w:r>
      <w:proofErr w:type="gramEnd"/>
    </w:p>
    <w:p w:rsidR="00FC0CB8" w:rsidRPr="00B30BB8" w:rsidRDefault="00FC0CB8" w:rsidP="00080A87">
      <w:pPr>
        <w:spacing w:line="360" w:lineRule="auto"/>
        <w:ind w:left="567"/>
        <w:jc w:val="both"/>
        <w:rPr>
          <w:rFonts w:ascii="Calibri" w:hAnsi="Calibri" w:cs="Calibri"/>
          <w:sz w:val="24"/>
          <w:szCs w:val="24"/>
          <w:lang w:val="en-US"/>
        </w:rPr>
      </w:pPr>
      <w:r>
        <w:rPr>
          <w:rFonts w:ascii="Calibri" w:hAnsi="Calibri" w:cs="Calibri"/>
          <w:sz w:val="24"/>
          <w:szCs w:val="24"/>
          <w:lang w:val="en-US"/>
        </w:rPr>
        <w:t>R</w:t>
      </w:r>
      <w:r w:rsidRPr="00B30BB8">
        <w:rPr>
          <w:rFonts w:ascii="Calibri" w:hAnsi="Calibri" w:cs="Calibri"/>
          <w:sz w:val="24"/>
          <w:szCs w:val="24"/>
          <w:lang w:val="en-US"/>
        </w:rPr>
        <w:t>etinitis (</w:t>
      </w:r>
      <w:r>
        <w:rPr>
          <w:rFonts w:ascii="Calibri" w:hAnsi="Calibri" w:cs="Calibri"/>
          <w:sz w:val="24"/>
          <w:szCs w:val="24"/>
          <w:lang w:val="en-US"/>
        </w:rPr>
        <w:t>typical lesions confirmed by ophthalmologist</w:t>
      </w:r>
      <w:r w:rsidRPr="00B30BB8">
        <w:rPr>
          <w:rFonts w:ascii="Calibri" w:hAnsi="Calibri" w:cs="Calibri"/>
          <w:sz w:val="24"/>
          <w:szCs w:val="24"/>
          <w:lang w:val="en-US"/>
        </w:rPr>
        <w:t>)</w:t>
      </w:r>
      <w:r>
        <w:rPr>
          <w:rFonts w:ascii="Calibri" w:hAnsi="Calibri" w:cs="Calibri"/>
          <w:sz w:val="24"/>
          <w:szCs w:val="24"/>
          <w:lang w:val="en-US"/>
        </w:rPr>
        <w:t>.</w:t>
      </w:r>
    </w:p>
    <w:p w:rsidR="00FC0CB8" w:rsidRDefault="00FC0CB8" w:rsidP="00080A87">
      <w:pPr>
        <w:spacing w:line="360" w:lineRule="auto"/>
        <w:ind w:left="567"/>
        <w:jc w:val="both"/>
        <w:rPr>
          <w:rFonts w:ascii="Calibri" w:hAnsi="Calibri" w:cs="Calibri"/>
          <w:sz w:val="24"/>
          <w:szCs w:val="24"/>
          <w:lang w:val="en-US"/>
        </w:rPr>
      </w:pPr>
      <w:proofErr w:type="gramStart"/>
      <w:r>
        <w:rPr>
          <w:rFonts w:ascii="Calibri" w:hAnsi="Calibri" w:cs="Calibri"/>
          <w:sz w:val="24"/>
          <w:szCs w:val="24"/>
          <w:lang w:val="en-US"/>
        </w:rPr>
        <w:t xml:space="preserve">Nephritis (unexplained elevation of </w:t>
      </w:r>
      <w:r w:rsidRPr="00B30BB8">
        <w:rPr>
          <w:rFonts w:ascii="Calibri" w:hAnsi="Calibri" w:cs="Calibri"/>
          <w:sz w:val="24"/>
          <w:szCs w:val="24"/>
          <w:lang w:val="en-US"/>
        </w:rPr>
        <w:t xml:space="preserve">s-Cr </w:t>
      </w:r>
      <w:r>
        <w:rPr>
          <w:rFonts w:ascii="Calibri" w:hAnsi="Calibri" w:cs="Calibri"/>
          <w:sz w:val="24"/>
          <w:szCs w:val="24"/>
          <w:lang w:val="en-US"/>
        </w:rPr>
        <w:t>plus positive biopsy for CMV detection by PCR, IHC analysis, in situ hybridization).</w:t>
      </w:r>
      <w:proofErr w:type="gramEnd"/>
    </w:p>
    <w:p w:rsidR="00FC0CB8" w:rsidRPr="00B30BB8" w:rsidRDefault="00FC0CB8" w:rsidP="00080A87">
      <w:pPr>
        <w:spacing w:line="360" w:lineRule="auto"/>
        <w:ind w:left="567"/>
        <w:jc w:val="both"/>
        <w:rPr>
          <w:rFonts w:ascii="Calibri" w:hAnsi="Calibri" w:cs="Calibri"/>
          <w:sz w:val="24"/>
          <w:szCs w:val="24"/>
          <w:lang w:val="en-US"/>
        </w:rPr>
      </w:pPr>
      <w:r>
        <w:rPr>
          <w:rFonts w:ascii="Calibri" w:hAnsi="Calibri" w:cs="Calibri"/>
          <w:sz w:val="24"/>
          <w:szCs w:val="24"/>
          <w:lang w:val="en-US"/>
        </w:rPr>
        <w:t>CNS disease (clinical signs of CNS disease without other cause plus CMV detection in CSF by culture or CMV detection in CNS tissue by PCR, IHC analysis or in situ hybridization.</w:t>
      </w:r>
    </w:p>
    <w:p w:rsidR="00FC0CB8" w:rsidRDefault="00FC0CB8" w:rsidP="003F2FDA">
      <w:pPr>
        <w:spacing w:line="360" w:lineRule="auto"/>
        <w:jc w:val="both"/>
        <w:rPr>
          <w:rFonts w:ascii="Calibri" w:hAnsi="Calibri" w:cs="Calibri"/>
          <w:b/>
          <w:sz w:val="24"/>
          <w:szCs w:val="24"/>
          <w:lang w:val="en-US"/>
        </w:rPr>
      </w:pPr>
    </w:p>
    <w:p w:rsidR="00FC0CB8" w:rsidRPr="00B30BB8" w:rsidRDefault="00FC0CB8" w:rsidP="003F2FDA">
      <w:pPr>
        <w:spacing w:line="360" w:lineRule="auto"/>
        <w:jc w:val="both"/>
        <w:rPr>
          <w:rFonts w:ascii="Calibri" w:hAnsi="Calibri" w:cs="Calibri"/>
          <w:b/>
          <w:sz w:val="24"/>
          <w:szCs w:val="24"/>
          <w:lang w:val="en-US"/>
        </w:rPr>
      </w:pPr>
      <w:r>
        <w:rPr>
          <w:rFonts w:ascii="Calibri" w:hAnsi="Calibri" w:cs="Calibri"/>
          <w:b/>
          <w:sz w:val="24"/>
          <w:szCs w:val="24"/>
          <w:lang w:val="en-US"/>
        </w:rPr>
        <w:t>Definition</w:t>
      </w:r>
      <w:r w:rsidRPr="00B30BB8">
        <w:rPr>
          <w:rFonts w:ascii="Calibri" w:hAnsi="Calibri" w:cs="Calibri"/>
          <w:b/>
          <w:sz w:val="24"/>
          <w:szCs w:val="24"/>
          <w:lang w:val="en-US"/>
        </w:rPr>
        <w:t xml:space="preserve"> </w:t>
      </w:r>
      <w:r>
        <w:rPr>
          <w:rFonts w:ascii="Calibri" w:hAnsi="Calibri" w:cs="Calibri"/>
          <w:b/>
          <w:sz w:val="24"/>
          <w:szCs w:val="24"/>
          <w:lang w:val="en-US"/>
        </w:rPr>
        <w:t>of CMV disease</w:t>
      </w:r>
    </w:p>
    <w:p w:rsidR="00FC0CB8" w:rsidRPr="00B30BB8" w:rsidRDefault="00FC0CB8" w:rsidP="00080A87">
      <w:pPr>
        <w:spacing w:line="360" w:lineRule="auto"/>
        <w:jc w:val="both"/>
        <w:rPr>
          <w:rFonts w:ascii="Calibri" w:hAnsi="Calibri" w:cs="Calibri"/>
          <w:sz w:val="24"/>
          <w:szCs w:val="24"/>
          <w:lang w:val="en-US"/>
        </w:rPr>
      </w:pPr>
      <w:r w:rsidRPr="007B2DBB">
        <w:rPr>
          <w:rFonts w:ascii="Calibri" w:hAnsi="Calibri" w:cs="Calibri"/>
          <w:sz w:val="24"/>
          <w:szCs w:val="24"/>
          <w:lang w:val="en-US"/>
        </w:rPr>
        <w:sym w:font="Wingdings" w:char="F09F"/>
      </w:r>
      <w:r w:rsidRPr="00B30BB8">
        <w:rPr>
          <w:rFonts w:ascii="Calibri" w:hAnsi="Calibri" w:cs="Calibri"/>
          <w:sz w:val="24"/>
          <w:szCs w:val="24"/>
          <w:lang w:val="en-US"/>
        </w:rPr>
        <w:t>CMV syndrom</w:t>
      </w:r>
      <w:r>
        <w:rPr>
          <w:rFonts w:ascii="Calibri" w:hAnsi="Calibri" w:cs="Calibri"/>
          <w:sz w:val="24"/>
          <w:szCs w:val="24"/>
          <w:lang w:val="en-US"/>
        </w:rPr>
        <w:t>e and/or tissue-invasive CMV disease</w:t>
      </w:r>
    </w:p>
    <w:p w:rsidR="00FC0CB8" w:rsidRDefault="00FC0CB8" w:rsidP="00C325FB">
      <w:pPr>
        <w:spacing w:line="360" w:lineRule="auto"/>
        <w:jc w:val="both"/>
        <w:rPr>
          <w:rFonts w:ascii="Calibri" w:hAnsi="Calibri" w:cs="Calibri"/>
          <w:b/>
          <w:sz w:val="24"/>
          <w:szCs w:val="24"/>
          <w:lang w:val="en-US"/>
        </w:rPr>
      </w:pPr>
    </w:p>
    <w:p w:rsidR="00FC0CB8" w:rsidRPr="003C08D7" w:rsidRDefault="00FC0CB8" w:rsidP="00D87DCF">
      <w:pPr>
        <w:spacing w:line="360" w:lineRule="auto"/>
        <w:jc w:val="both"/>
        <w:rPr>
          <w:rFonts w:ascii="Calibri" w:hAnsi="Calibri" w:cs="Calibri"/>
          <w:b/>
          <w:sz w:val="24"/>
          <w:szCs w:val="24"/>
          <w:lang w:val="en-US"/>
        </w:rPr>
      </w:pPr>
      <w:r>
        <w:rPr>
          <w:rFonts w:ascii="Calibri" w:hAnsi="Calibri" w:cs="Calibri"/>
          <w:b/>
          <w:sz w:val="24"/>
          <w:szCs w:val="24"/>
          <w:lang w:val="en-US"/>
        </w:rPr>
        <w:br w:type="page"/>
      </w:r>
      <w:r w:rsidRPr="003C08D7">
        <w:rPr>
          <w:rFonts w:ascii="Calibri" w:hAnsi="Calibri" w:cs="Calibri"/>
          <w:b/>
          <w:sz w:val="24"/>
          <w:szCs w:val="24"/>
          <w:lang w:val="en-US"/>
        </w:rPr>
        <w:lastRenderedPageBreak/>
        <w:t>Quantitative real-time PCR DNA CMV from whole blood</w:t>
      </w:r>
    </w:p>
    <w:p w:rsidR="00FC0CB8" w:rsidRPr="003C08D7" w:rsidRDefault="00FC0CB8" w:rsidP="003C08D7">
      <w:pPr>
        <w:spacing w:line="360" w:lineRule="auto"/>
        <w:jc w:val="both"/>
        <w:rPr>
          <w:rFonts w:ascii="Calibri" w:hAnsi="Calibri" w:cs="Calibri"/>
          <w:iCs/>
          <w:color w:val="000000"/>
          <w:sz w:val="24"/>
          <w:szCs w:val="24"/>
          <w:lang w:val="en-US"/>
        </w:rPr>
      </w:pPr>
      <w:r w:rsidRPr="003C08D7">
        <w:rPr>
          <w:rFonts w:ascii="Calibri" w:hAnsi="Calibri" w:cs="Calibri"/>
          <w:iCs/>
          <w:color w:val="000000"/>
          <w:sz w:val="24"/>
          <w:szCs w:val="24"/>
          <w:lang w:val="en-US"/>
        </w:rPr>
        <w:t>Quantitative real-time PCR will be performed using a commercially available kit (RealStar® CMV PCR kit 1.0, Altona Diagnostics</w:t>
      </w:r>
      <w:r w:rsidRPr="003C08D7">
        <w:rPr>
          <w:rFonts w:ascii="Calibri" w:hAnsi="Calibri" w:cs="Calibri"/>
          <w:sz w:val="24"/>
          <w:lang w:val="en-US"/>
        </w:rPr>
        <w:t>;</w:t>
      </w:r>
      <w:r w:rsidRPr="003C08D7">
        <w:rPr>
          <w:rFonts w:ascii="Calibri" w:hAnsi="Calibri" w:cs="Calibri"/>
          <w:iCs/>
          <w:color w:val="000000"/>
          <w:sz w:val="24"/>
          <w:szCs w:val="24"/>
          <w:lang w:val="en-US"/>
        </w:rPr>
        <w:t xml:space="preserve"> Germany) according to manufacturers’ instructions on a Rotor-Gene</w:t>
      </w:r>
      <w:r w:rsidRPr="003C08D7">
        <w:rPr>
          <w:rFonts w:ascii="Calibri" w:hAnsi="Calibri" w:cs="Calibri"/>
          <w:iCs/>
          <w:color w:val="000000"/>
          <w:sz w:val="24"/>
          <w:szCs w:val="24"/>
          <w:vertAlign w:val="superscript"/>
          <w:lang w:val="en-US"/>
        </w:rPr>
        <w:t>TM</w:t>
      </w:r>
      <w:r w:rsidRPr="003C08D7">
        <w:rPr>
          <w:rFonts w:ascii="Calibri" w:hAnsi="Calibri" w:cs="Calibri"/>
          <w:iCs/>
          <w:color w:val="000000"/>
          <w:sz w:val="24"/>
          <w:szCs w:val="24"/>
          <w:lang w:val="en-US"/>
        </w:rPr>
        <w:t xml:space="preserve"> 2000/3000 system (Corbett Research</w:t>
      </w:r>
      <w:r w:rsidRPr="003C08D7">
        <w:rPr>
          <w:rFonts w:ascii="Calibri" w:hAnsi="Calibri" w:cs="Calibri"/>
          <w:sz w:val="24"/>
          <w:lang w:val="en-US"/>
        </w:rPr>
        <w:t>;</w:t>
      </w:r>
      <w:r w:rsidRPr="003C08D7">
        <w:rPr>
          <w:rFonts w:ascii="Calibri" w:hAnsi="Calibri" w:cs="Calibri"/>
          <w:iCs/>
          <w:color w:val="000000"/>
          <w:sz w:val="24"/>
          <w:szCs w:val="24"/>
          <w:lang w:val="en-US"/>
        </w:rPr>
        <w:t xml:space="preserve"> Australia).</w:t>
      </w:r>
      <w:r w:rsidRPr="003C08D7">
        <w:rPr>
          <w:rFonts w:ascii="Calibri" w:hAnsi="Calibri" w:cs="Calibri"/>
          <w:color w:val="0000FF"/>
          <w:sz w:val="24"/>
          <w:szCs w:val="24"/>
          <w:lang w:val="en-US"/>
        </w:rPr>
        <w:t xml:space="preserve"> </w:t>
      </w:r>
      <w:r w:rsidRPr="003C08D7">
        <w:rPr>
          <w:rFonts w:ascii="Calibri" w:hAnsi="Calibri" w:cs="Calibri"/>
          <w:iCs/>
          <w:color w:val="000000"/>
          <w:sz w:val="24"/>
          <w:szCs w:val="24"/>
          <w:lang w:val="en-US"/>
        </w:rPr>
        <w:t xml:space="preserve">DNA will be isolated from 200 µL of whole blood using a commercially available kit (QuickGene DNA whole blood kit S (DB-S), Kurabo; Japan) according to manufacturers’ instructions. Elution will be performed in 100 µL CDB buffer, final DNA volume used in calculation of CMV IU/mL (see later) is 100 µL. Thereafter, short part of CMV genome (length between 150 and 200bp) will be amplified by CMV specific primers and amplicon is immediately detected by fluorescent marked (FAM) probes. Heterologenous amplificating system detected by other fluorescent channel (JOE) is used as internal quality control and DNA integrity control (to exclude false negative result due to low quality DNA). </w:t>
      </w:r>
      <w:r w:rsidRPr="003C08D7">
        <w:rPr>
          <w:rFonts w:ascii="Calibri" w:hAnsi="Calibri" w:cs="Calibri"/>
          <w:bCs/>
          <w:iCs/>
          <w:color w:val="000000"/>
          <w:sz w:val="24"/>
          <w:szCs w:val="24"/>
          <w:lang w:val="en-US"/>
        </w:rPr>
        <w:t>Quantification is performed according to calibrating curve generated from concomitantly amplificated quantification standards (</w:t>
      </w:r>
      <w:r w:rsidRPr="003C08D7">
        <w:rPr>
          <w:rFonts w:ascii="Calibri" w:hAnsi="Calibri" w:cs="Calibri"/>
          <w:iCs/>
          <w:color w:val="000000"/>
          <w:sz w:val="24"/>
          <w:szCs w:val="24"/>
          <w:lang w:val="en-US"/>
        </w:rPr>
        <w:t>IU/uL DNA). By this way, the number of CMV copies per 1 µL DNA is reached. Thereafter, the number of CMV IU/mL of whole blood is calculated from enter sample volume and eluted DNA volume according to following formula:</w:t>
      </w:r>
    </w:p>
    <w:p w:rsidR="00FC0CB8" w:rsidRPr="003C08D7" w:rsidRDefault="00FC0CB8" w:rsidP="003C08D7">
      <w:pPr>
        <w:spacing w:line="360" w:lineRule="auto"/>
        <w:jc w:val="center"/>
        <w:rPr>
          <w:rFonts w:ascii="Calibri" w:hAnsi="Calibri" w:cs="Calibri"/>
          <w:iCs/>
          <w:color w:val="000000"/>
          <w:sz w:val="24"/>
          <w:szCs w:val="24"/>
          <w:lang w:val="en-US"/>
        </w:rPr>
      </w:pPr>
      <w:r w:rsidRPr="003C08D7">
        <w:rPr>
          <w:rFonts w:ascii="Calibri" w:hAnsi="Calibri" w:cs="Calibri"/>
          <w:iCs/>
          <w:color w:val="000000"/>
          <w:sz w:val="24"/>
          <w:szCs w:val="24"/>
          <w:lang w:val="en-US"/>
        </w:rPr>
        <w:t>IU/mL = (IU/µL x eluted volume) / volume of sample for DNA isolation</w:t>
      </w:r>
    </w:p>
    <w:p w:rsidR="00FC0CB8" w:rsidRDefault="00FC0CB8" w:rsidP="003C08D7">
      <w:pPr>
        <w:spacing w:line="360" w:lineRule="auto"/>
        <w:jc w:val="both"/>
        <w:rPr>
          <w:rFonts w:ascii="Calibri" w:hAnsi="Calibri" w:cs="Calibri"/>
          <w:iCs/>
          <w:color w:val="000000"/>
          <w:sz w:val="24"/>
          <w:szCs w:val="24"/>
          <w:lang w:val="en-US"/>
        </w:rPr>
      </w:pPr>
      <w:r w:rsidRPr="003C08D7">
        <w:rPr>
          <w:rFonts w:ascii="Calibri" w:hAnsi="Calibri" w:cs="Calibri"/>
          <w:iCs/>
          <w:color w:val="000000"/>
          <w:sz w:val="24"/>
          <w:szCs w:val="24"/>
          <w:lang w:val="en-US"/>
        </w:rPr>
        <w:t>Analytical sensitivity for Rotor-Gene</w:t>
      </w:r>
      <w:r w:rsidRPr="003C08D7">
        <w:rPr>
          <w:rFonts w:ascii="Calibri" w:hAnsi="Calibri" w:cs="Calibri"/>
          <w:iCs/>
          <w:color w:val="000000"/>
          <w:sz w:val="24"/>
          <w:szCs w:val="24"/>
          <w:vertAlign w:val="superscript"/>
          <w:lang w:val="en-US"/>
        </w:rPr>
        <w:t>TM</w:t>
      </w:r>
      <w:r w:rsidRPr="003C08D7">
        <w:rPr>
          <w:rFonts w:ascii="Calibri" w:hAnsi="Calibri" w:cs="Calibri"/>
          <w:iCs/>
          <w:color w:val="000000"/>
          <w:sz w:val="24"/>
          <w:szCs w:val="24"/>
          <w:lang w:val="en-US"/>
        </w:rPr>
        <w:t xml:space="preserve"> 2000/3000 was not determined. </w:t>
      </w:r>
      <w:r>
        <w:rPr>
          <w:rFonts w:ascii="Calibri" w:hAnsi="Calibri" w:cs="Calibri"/>
          <w:iCs/>
          <w:color w:val="000000"/>
          <w:sz w:val="24"/>
          <w:szCs w:val="24"/>
          <w:lang w:val="en-US"/>
        </w:rPr>
        <w:t xml:space="preserve">Lower detection limit </w:t>
      </w:r>
      <w:r w:rsidRPr="00DE038A">
        <w:rPr>
          <w:rFonts w:ascii="Calibri" w:hAnsi="Calibri" w:cs="Calibri"/>
          <w:iCs/>
          <w:color w:val="000000"/>
          <w:sz w:val="24"/>
          <w:szCs w:val="24"/>
          <w:lang w:val="en-US"/>
        </w:rPr>
        <w:t>of the investigation is</w:t>
      </w:r>
      <w:r>
        <w:rPr>
          <w:rFonts w:ascii="Calibri" w:hAnsi="Calibri" w:cs="Calibri"/>
          <w:iCs/>
          <w:color w:val="000000"/>
          <w:sz w:val="24"/>
          <w:szCs w:val="24"/>
          <w:lang w:val="en-US"/>
        </w:rPr>
        <w:t xml:space="preserve"> 50 IU</w:t>
      </w:r>
      <w:r w:rsidRPr="00DE038A">
        <w:rPr>
          <w:rFonts w:ascii="Calibri" w:hAnsi="Calibri" w:cs="Calibri"/>
          <w:iCs/>
          <w:color w:val="000000"/>
          <w:sz w:val="24"/>
          <w:szCs w:val="24"/>
          <w:lang w:val="en-US"/>
        </w:rPr>
        <w:t>/mL of whole</w:t>
      </w:r>
      <w:r w:rsidRPr="00D87DCF">
        <w:rPr>
          <w:rFonts w:ascii="Calibri" w:hAnsi="Calibri" w:cs="Calibri"/>
          <w:iCs/>
          <w:color w:val="000000"/>
          <w:sz w:val="24"/>
          <w:szCs w:val="24"/>
          <w:lang w:val="en-US"/>
        </w:rPr>
        <w:t xml:space="preserve"> blood. </w:t>
      </w:r>
      <w:r w:rsidRPr="003C08D7">
        <w:rPr>
          <w:rFonts w:ascii="Calibri" w:hAnsi="Calibri" w:cs="Calibri"/>
          <w:iCs/>
          <w:color w:val="000000"/>
          <w:sz w:val="24"/>
          <w:szCs w:val="24"/>
          <w:lang w:val="en-US"/>
        </w:rPr>
        <w:t>Physicians assessing the PCR results will be blinded to the study group of patients.</w:t>
      </w:r>
    </w:p>
    <w:p w:rsidR="00FC0CB8" w:rsidRPr="002B1AFB" w:rsidRDefault="00FC0CB8" w:rsidP="003C08D7">
      <w:pPr>
        <w:spacing w:line="360" w:lineRule="auto"/>
        <w:ind w:left="567"/>
        <w:jc w:val="both"/>
        <w:rPr>
          <w:rFonts w:ascii="Calibri" w:hAnsi="Calibri" w:cs="Calibri"/>
          <w:i/>
          <w:lang w:val="en-US"/>
        </w:rPr>
      </w:pPr>
      <w:r w:rsidRPr="002B1AFB">
        <w:rPr>
          <w:rFonts w:ascii="Calibri" w:hAnsi="Calibri" w:cs="Calibri"/>
          <w:b/>
          <w:i/>
          <w:lang w:val="en-US"/>
        </w:rPr>
        <w:t>Kwok S, Higuchi R.</w:t>
      </w:r>
      <w:r w:rsidRPr="002B1AFB">
        <w:rPr>
          <w:rFonts w:ascii="Calibri" w:hAnsi="Calibri" w:cs="Calibri"/>
          <w:i/>
          <w:lang w:val="en-US"/>
        </w:rPr>
        <w:t xml:space="preserve"> Avoiding false positives with PCR. Nature 1989, 339: 237.</w:t>
      </w:r>
    </w:p>
    <w:p w:rsidR="00FC0CB8" w:rsidRDefault="00FC0CB8" w:rsidP="00E07780">
      <w:pPr>
        <w:spacing w:line="360" w:lineRule="auto"/>
        <w:jc w:val="both"/>
        <w:rPr>
          <w:rFonts w:ascii="Calibri" w:hAnsi="Calibri" w:cs="Calibri"/>
          <w:b/>
          <w:sz w:val="24"/>
          <w:szCs w:val="24"/>
          <w:lang w:val="en-US"/>
        </w:rPr>
      </w:pPr>
    </w:p>
    <w:p w:rsidR="00FC0CB8" w:rsidRPr="002B1AFB" w:rsidRDefault="00FC0CB8" w:rsidP="00E07780">
      <w:pPr>
        <w:spacing w:line="360" w:lineRule="auto"/>
        <w:jc w:val="both"/>
        <w:rPr>
          <w:rFonts w:ascii="Calibri" w:hAnsi="Calibri" w:cs="Calibri"/>
          <w:b/>
          <w:sz w:val="24"/>
          <w:szCs w:val="24"/>
          <w:lang w:val="en-US"/>
        </w:rPr>
      </w:pPr>
      <w:r w:rsidRPr="002B1AFB">
        <w:rPr>
          <w:rFonts w:ascii="Calibri" w:hAnsi="Calibri" w:cs="Calibri"/>
          <w:b/>
          <w:sz w:val="24"/>
          <w:szCs w:val="24"/>
          <w:lang w:val="en-US"/>
        </w:rPr>
        <w:t>CMV pp65-antigenemia</w:t>
      </w:r>
    </w:p>
    <w:p w:rsidR="00FC0CB8" w:rsidRDefault="00FC0CB8" w:rsidP="00E07780">
      <w:pPr>
        <w:spacing w:line="360" w:lineRule="auto"/>
        <w:jc w:val="both"/>
        <w:rPr>
          <w:rFonts w:ascii="Calibri" w:hAnsi="Calibri"/>
          <w:sz w:val="24"/>
          <w:szCs w:val="24"/>
          <w:lang w:val="en-US"/>
        </w:rPr>
      </w:pPr>
      <w:r w:rsidRPr="002B1AFB">
        <w:rPr>
          <w:rFonts w:ascii="Calibri" w:hAnsi="Calibri"/>
          <w:sz w:val="24"/>
          <w:szCs w:val="24"/>
          <w:lang w:val="en-US"/>
        </w:rPr>
        <w:t xml:space="preserve">In cases of CMV viremia or suspected CMV disease, pp65 antigenemia on isolated polymorphonuclear cells will be additionally examined using a commercially available CINA kit according to </w:t>
      </w:r>
      <w:r w:rsidRPr="002B1AFB">
        <w:rPr>
          <w:rFonts w:ascii="Calibri" w:hAnsi="Calibri" w:cs="Calibri"/>
          <w:iCs/>
          <w:color w:val="000000"/>
          <w:sz w:val="24"/>
          <w:szCs w:val="24"/>
          <w:lang w:val="en-US"/>
        </w:rPr>
        <w:t xml:space="preserve">manufacturers’ instructions </w:t>
      </w:r>
      <w:r w:rsidRPr="002B1AFB">
        <w:rPr>
          <w:rFonts w:ascii="Calibri" w:hAnsi="Calibri"/>
          <w:sz w:val="24"/>
          <w:szCs w:val="24"/>
          <w:lang w:val="en-US"/>
        </w:rPr>
        <w:t>(Argene BIOSOFT; France). One and more positive cells per 200,000 tested will be defined as a positive result.</w:t>
      </w:r>
    </w:p>
    <w:p w:rsidR="00FC0CB8" w:rsidRDefault="00FC0CB8" w:rsidP="00E07780">
      <w:pPr>
        <w:spacing w:line="360" w:lineRule="auto"/>
        <w:jc w:val="both"/>
        <w:rPr>
          <w:rFonts w:ascii="Calibri" w:hAnsi="Calibri"/>
          <w:sz w:val="24"/>
          <w:szCs w:val="24"/>
          <w:lang w:val="en-US"/>
        </w:rPr>
      </w:pPr>
    </w:p>
    <w:p w:rsidR="00FC0CB8" w:rsidRPr="004232A4" w:rsidRDefault="00FC0CB8" w:rsidP="00E07780">
      <w:pPr>
        <w:spacing w:line="360" w:lineRule="auto"/>
        <w:jc w:val="both"/>
        <w:rPr>
          <w:rFonts w:ascii="Calibri" w:hAnsi="Calibri" w:cs="Calibri"/>
          <w:b/>
          <w:sz w:val="24"/>
          <w:szCs w:val="24"/>
          <w:lang w:val="en-US"/>
        </w:rPr>
      </w:pPr>
      <w:r w:rsidRPr="004232A4">
        <w:rPr>
          <w:rFonts w:ascii="Calibri" w:hAnsi="Calibri"/>
          <w:b/>
          <w:sz w:val="24"/>
          <w:szCs w:val="24"/>
          <w:lang w:val="en-US"/>
        </w:rPr>
        <w:t xml:space="preserve">CMV ganciclovir resistance </w:t>
      </w:r>
    </w:p>
    <w:p w:rsidR="00FC0CB8" w:rsidRPr="00A63C68" w:rsidRDefault="00FC0CB8" w:rsidP="00A63C68">
      <w:pPr>
        <w:spacing w:line="360" w:lineRule="auto"/>
        <w:jc w:val="both"/>
        <w:rPr>
          <w:rFonts w:ascii="Calibri" w:hAnsi="Calibri" w:cs="Calibri"/>
          <w:sz w:val="24"/>
          <w:szCs w:val="24"/>
          <w:lang w:val="en-US"/>
        </w:rPr>
      </w:pPr>
      <w:r>
        <w:rPr>
          <w:rFonts w:ascii="Calibri" w:hAnsi="Calibri" w:cs="Calibri"/>
          <w:sz w:val="24"/>
          <w:szCs w:val="24"/>
          <w:lang w:val="en-US"/>
        </w:rPr>
        <w:t xml:space="preserve">CMV resistant strains will be detected by </w:t>
      </w:r>
      <w:r w:rsidRPr="00C47EF4">
        <w:rPr>
          <w:rFonts w:ascii="Calibri" w:hAnsi="Calibri" w:cs="Calibri"/>
          <w:sz w:val="24"/>
          <w:szCs w:val="24"/>
          <w:lang w:val="en-US"/>
        </w:rPr>
        <w:t xml:space="preserve">genotypic analysis of </w:t>
      </w:r>
      <w:r>
        <w:rPr>
          <w:rFonts w:ascii="Calibri" w:hAnsi="Calibri" w:cs="Calibri"/>
          <w:sz w:val="24"/>
          <w:szCs w:val="24"/>
          <w:lang w:val="en-US"/>
        </w:rPr>
        <w:t xml:space="preserve">the </w:t>
      </w:r>
      <w:r w:rsidRPr="00C47EF4">
        <w:rPr>
          <w:rFonts w:ascii="Calibri" w:hAnsi="Calibri" w:cs="Calibri"/>
          <w:sz w:val="24"/>
          <w:szCs w:val="24"/>
          <w:lang w:val="en-US"/>
        </w:rPr>
        <w:t xml:space="preserve">UL97 kinase and </w:t>
      </w:r>
      <w:r>
        <w:rPr>
          <w:rFonts w:ascii="Calibri" w:hAnsi="Calibri" w:cs="Calibri"/>
          <w:sz w:val="24"/>
          <w:szCs w:val="24"/>
          <w:lang w:val="en-US"/>
        </w:rPr>
        <w:t xml:space="preserve">the </w:t>
      </w:r>
      <w:r w:rsidRPr="00C47EF4">
        <w:rPr>
          <w:rFonts w:ascii="Calibri" w:hAnsi="Calibri" w:cs="Calibri"/>
          <w:sz w:val="24"/>
          <w:szCs w:val="24"/>
          <w:lang w:val="en-US"/>
        </w:rPr>
        <w:t xml:space="preserve">UL54 DNA polymerase </w:t>
      </w:r>
      <w:r w:rsidRPr="00C47EF4">
        <w:rPr>
          <w:rFonts w:ascii="Calibri" w:hAnsi="Calibri"/>
          <w:sz w:val="24"/>
          <w:szCs w:val="24"/>
        </w:rPr>
        <w:t>genes based on known mutations for current anti-CMV drugs.</w:t>
      </w:r>
      <w:r>
        <w:rPr>
          <w:rFonts w:ascii="Calibri" w:hAnsi="Calibri" w:cs="Calibri"/>
          <w:sz w:val="24"/>
          <w:szCs w:val="24"/>
          <w:lang w:val="en-US"/>
        </w:rPr>
        <w:t xml:space="preserve"> CMV DNA will be extracted from whole blood samples as described in real-time CMV PCR methods. </w:t>
      </w:r>
      <w:r>
        <w:rPr>
          <w:rFonts w:ascii="Calibri" w:hAnsi="Calibri" w:cs="Calibri"/>
          <w:sz w:val="24"/>
          <w:szCs w:val="24"/>
          <w:lang w:val="en-US"/>
        </w:rPr>
        <w:lastRenderedPageBreak/>
        <w:t xml:space="preserve">Predefined criteria will be used to identify subjects and samples for genotypic resistance testing: 1) any patient with a positive viral </w:t>
      </w:r>
      <w:r w:rsidRPr="000D4F16">
        <w:rPr>
          <w:rFonts w:ascii="Calibri" w:hAnsi="Calibri" w:cs="Calibri"/>
          <w:sz w:val="24"/>
          <w:szCs w:val="24"/>
          <w:lang w:val="en-US"/>
        </w:rPr>
        <w:t>load (</w:t>
      </w:r>
      <w:r w:rsidRPr="000D4F16">
        <w:rPr>
          <w:rFonts w:ascii="Calibri" w:hAnsi="Calibri" w:cs="Arial"/>
          <w:sz w:val="24"/>
          <w:szCs w:val="24"/>
          <w:lang w:val="en-US"/>
        </w:rPr>
        <w:t>&gt;</w:t>
      </w:r>
      <w:r>
        <w:rPr>
          <w:rFonts w:ascii="Calibri" w:hAnsi="Calibri" w:cs="Arial"/>
          <w:sz w:val="24"/>
          <w:szCs w:val="24"/>
          <w:lang w:val="en-US"/>
        </w:rPr>
        <w:t xml:space="preserve">1000 IU/mL) during valganciclovir prophylaxis or after prophylaxis completion, 2) any patient with a positive viral load </w:t>
      </w:r>
      <w:r w:rsidRPr="000D4F16">
        <w:rPr>
          <w:rFonts w:ascii="Calibri" w:hAnsi="Calibri" w:cs="Calibri"/>
          <w:sz w:val="24"/>
          <w:szCs w:val="24"/>
          <w:lang w:val="en-US"/>
        </w:rPr>
        <w:t>(</w:t>
      </w:r>
      <w:r w:rsidRPr="000D4F16">
        <w:rPr>
          <w:rFonts w:ascii="Calibri" w:hAnsi="Calibri" w:cs="Arial"/>
          <w:sz w:val="24"/>
          <w:szCs w:val="24"/>
          <w:lang w:val="en-US"/>
        </w:rPr>
        <w:t>&gt;</w:t>
      </w:r>
      <w:r>
        <w:rPr>
          <w:rFonts w:ascii="Calibri" w:hAnsi="Calibri" w:cs="Arial"/>
          <w:sz w:val="24"/>
          <w:szCs w:val="24"/>
          <w:lang w:val="en-US"/>
        </w:rPr>
        <w:t xml:space="preserve">1000 </w:t>
      </w:r>
      <w:r w:rsidRPr="00A63C68">
        <w:rPr>
          <w:rFonts w:ascii="Calibri" w:hAnsi="Calibri" w:cs="Arial"/>
          <w:sz w:val="24"/>
          <w:szCs w:val="24"/>
          <w:lang w:val="en-US"/>
        </w:rPr>
        <w:t xml:space="preserve">IU/mL) within 21 days of starting pre-emptive valganciclovir therapy, 3) any patient with recurrent viral load </w:t>
      </w:r>
      <w:r w:rsidRPr="00A63C68">
        <w:rPr>
          <w:rFonts w:ascii="Calibri" w:hAnsi="Calibri" w:cs="Calibri"/>
          <w:sz w:val="24"/>
          <w:szCs w:val="24"/>
          <w:lang w:val="en-US"/>
        </w:rPr>
        <w:t>(</w:t>
      </w:r>
      <w:r w:rsidRPr="00A63C68">
        <w:rPr>
          <w:rFonts w:ascii="Calibri" w:hAnsi="Calibri" w:cs="Arial"/>
          <w:sz w:val="24"/>
          <w:szCs w:val="24"/>
          <w:lang w:val="en-US"/>
        </w:rPr>
        <w:t xml:space="preserve">&gt;1000 IU/mL) after previous pre-emptive valganciclovir therapy, 4) any patient with CMV disease with positive viral load </w:t>
      </w:r>
      <w:r w:rsidRPr="00A63C68">
        <w:rPr>
          <w:rFonts w:ascii="Calibri" w:hAnsi="Calibri" w:cs="Calibri"/>
          <w:sz w:val="24"/>
          <w:szCs w:val="24"/>
          <w:lang w:val="en-US"/>
        </w:rPr>
        <w:t>(</w:t>
      </w:r>
      <w:r w:rsidRPr="00A63C68">
        <w:rPr>
          <w:rFonts w:ascii="Calibri" w:hAnsi="Calibri" w:cs="Arial"/>
          <w:sz w:val="24"/>
          <w:szCs w:val="24"/>
          <w:lang w:val="en-US"/>
        </w:rPr>
        <w:t>&gt;1000 IU/mL) within 21 days of diagnosis in spite of &gt;2 weeks of full dose i.v. ganciclovir.</w:t>
      </w:r>
    </w:p>
    <w:p w:rsidR="00FC0CB8" w:rsidRPr="00A63C68" w:rsidRDefault="00FC0CB8" w:rsidP="00A63C68">
      <w:pPr>
        <w:spacing w:line="360" w:lineRule="auto"/>
        <w:jc w:val="both"/>
        <w:rPr>
          <w:rFonts w:ascii="Calibri" w:hAnsi="Calibri" w:cs="Calibri"/>
          <w:sz w:val="24"/>
          <w:szCs w:val="24"/>
          <w:lang w:val="en-US"/>
        </w:rPr>
      </w:pPr>
    </w:p>
    <w:p w:rsidR="00FC0CB8" w:rsidRPr="00A63C68" w:rsidRDefault="00FC0CB8" w:rsidP="00A63C68">
      <w:pPr>
        <w:spacing w:line="360" w:lineRule="auto"/>
        <w:jc w:val="both"/>
        <w:rPr>
          <w:rFonts w:ascii="Calibri" w:hAnsi="Calibri"/>
          <w:b/>
          <w:sz w:val="24"/>
          <w:szCs w:val="24"/>
          <w:lang w:val="en-GB"/>
        </w:rPr>
      </w:pPr>
      <w:r w:rsidRPr="00A63C68">
        <w:rPr>
          <w:rFonts w:ascii="Calibri" w:hAnsi="Calibri"/>
          <w:b/>
          <w:sz w:val="24"/>
          <w:szCs w:val="24"/>
          <w:lang w:val="en-GB"/>
        </w:rPr>
        <w:t>CMV-sp</w:t>
      </w:r>
      <w:r>
        <w:rPr>
          <w:rFonts w:ascii="Calibri" w:hAnsi="Calibri"/>
          <w:b/>
          <w:sz w:val="24"/>
          <w:szCs w:val="24"/>
          <w:lang w:val="en-GB"/>
        </w:rPr>
        <w:t>ecific and alloreactive T-cell</w:t>
      </w:r>
      <w:r w:rsidRPr="00A63C68">
        <w:rPr>
          <w:rFonts w:ascii="Calibri" w:hAnsi="Calibri"/>
          <w:b/>
          <w:sz w:val="24"/>
          <w:szCs w:val="24"/>
          <w:lang w:val="en-GB"/>
        </w:rPr>
        <w:t xml:space="preserve"> immune response testin</w:t>
      </w:r>
      <w:r>
        <w:rPr>
          <w:rFonts w:ascii="Calibri" w:hAnsi="Calibri"/>
          <w:b/>
          <w:sz w:val="24"/>
          <w:szCs w:val="24"/>
          <w:lang w:val="en-GB"/>
        </w:rPr>
        <w:t>g</w:t>
      </w:r>
      <w:r w:rsidRPr="00A63C68">
        <w:rPr>
          <w:rFonts w:ascii="Calibri" w:hAnsi="Calibri"/>
          <w:b/>
          <w:sz w:val="24"/>
          <w:szCs w:val="24"/>
          <w:lang w:val="en-GB"/>
        </w:rPr>
        <w:t xml:space="preserve"> by FluroSpot </w:t>
      </w:r>
    </w:p>
    <w:p w:rsidR="00FC0CB8" w:rsidRDefault="00FC0CB8" w:rsidP="00A63C68">
      <w:pPr>
        <w:spacing w:line="360" w:lineRule="auto"/>
        <w:jc w:val="both"/>
        <w:rPr>
          <w:rFonts w:ascii="Calibri" w:hAnsi="Calibri"/>
          <w:sz w:val="24"/>
          <w:szCs w:val="24"/>
          <w:lang w:val="en-GB"/>
        </w:rPr>
      </w:pPr>
      <w:r>
        <w:rPr>
          <w:rFonts w:ascii="Calibri" w:hAnsi="Calibri"/>
          <w:sz w:val="24"/>
          <w:szCs w:val="24"/>
          <w:lang w:val="en-GB"/>
        </w:rPr>
        <w:t>Both CMV-specific and alloreactive T-cell response will be tested in predefined time points. In the case of CMV-specific immunity analyses will be performed pretransplantation, and at 1, 3, 6, 12, and 36 months after transplantation. In the case of alloreactive T cell immunity analyses will be performed pretransplantation, and at 3, 12, and 36 months after transplantation.</w:t>
      </w:r>
    </w:p>
    <w:p w:rsidR="00FC0CB8" w:rsidRPr="00A63C68" w:rsidRDefault="00FC0CB8" w:rsidP="00A63C68">
      <w:pPr>
        <w:spacing w:line="360" w:lineRule="auto"/>
        <w:jc w:val="both"/>
        <w:rPr>
          <w:rFonts w:ascii="Calibri" w:hAnsi="Calibri"/>
          <w:sz w:val="24"/>
          <w:szCs w:val="24"/>
          <w:lang w:val="en-GB"/>
        </w:rPr>
      </w:pPr>
      <w:r>
        <w:rPr>
          <w:rFonts w:ascii="Calibri" w:hAnsi="Calibri"/>
          <w:sz w:val="24"/>
          <w:szCs w:val="24"/>
          <w:lang w:val="en-GB"/>
        </w:rPr>
        <w:t>As a first step</w:t>
      </w:r>
      <w:r w:rsidRPr="00A63C68">
        <w:rPr>
          <w:rFonts w:ascii="Calibri" w:hAnsi="Calibri"/>
          <w:sz w:val="24"/>
          <w:szCs w:val="24"/>
          <w:lang w:val="en-GB"/>
        </w:rPr>
        <w:t xml:space="preserve"> isolation and cryopreservation of mononuclear cells is carried out. In the case of living donor transplants and in kidney transplant recipients, mononuclear cells are obtained from (donor/recipient`s) peripheral blood (peripheral mononuclear cells - PBMNCs) or from donor spleen in the case of cadaver transplants. PBMNCs to be used as both stimulators and responder cells in Flurospot are isolated from cca 40 mililitres of whole blood by Ficoll gradient centrifugation. In cadaver donors splenocyte suspens</w:t>
      </w:r>
      <w:r>
        <w:rPr>
          <w:rFonts w:ascii="Calibri" w:hAnsi="Calibri"/>
          <w:sz w:val="24"/>
          <w:szCs w:val="24"/>
          <w:lang w:val="en-GB"/>
        </w:rPr>
        <w:t xml:space="preserve">ion is obtained from a </w:t>
      </w:r>
      <w:r w:rsidRPr="00A63C68">
        <w:rPr>
          <w:rFonts w:ascii="Calibri" w:hAnsi="Calibri"/>
          <w:sz w:val="24"/>
          <w:szCs w:val="24"/>
          <w:lang w:val="en-GB"/>
        </w:rPr>
        <w:t>donor spleen. Mononuclear cells are then isolated by Ficoll gradient centrifugation as well. After centrifugation, a layer of mononuclear cells is obtained. Cells are carefully collected, washed, counted and cryopreserve</w:t>
      </w:r>
      <w:r>
        <w:rPr>
          <w:rFonts w:ascii="Calibri" w:hAnsi="Calibri"/>
          <w:sz w:val="24"/>
          <w:szCs w:val="24"/>
          <w:lang w:val="en-GB"/>
        </w:rPr>
        <w:t xml:space="preserve">d </w:t>
      </w:r>
      <w:r w:rsidRPr="00A63C68">
        <w:rPr>
          <w:rFonts w:ascii="Calibri" w:hAnsi="Calibri"/>
          <w:sz w:val="24"/>
          <w:szCs w:val="24"/>
          <w:lang w:val="en-GB"/>
        </w:rPr>
        <w:t>at -80°C until used in the Fluorospot assay.</w:t>
      </w:r>
    </w:p>
    <w:p w:rsidR="00FC0CB8" w:rsidRPr="007A487A" w:rsidRDefault="00FC0CB8" w:rsidP="007A487A">
      <w:pPr>
        <w:spacing w:line="360" w:lineRule="auto"/>
        <w:jc w:val="both"/>
        <w:rPr>
          <w:rFonts w:ascii="Calibri" w:hAnsi="Calibri"/>
          <w:sz w:val="24"/>
          <w:szCs w:val="24"/>
          <w:lang w:val="en-GB"/>
        </w:rPr>
      </w:pPr>
      <w:r w:rsidRPr="00A63C68">
        <w:rPr>
          <w:rFonts w:ascii="Calibri" w:hAnsi="Calibri"/>
          <w:sz w:val="24"/>
          <w:szCs w:val="24"/>
          <w:lang w:val="en-GB"/>
        </w:rPr>
        <w:t>Fluorospot assay is a modification of enzyme-linked immunospot (Elispot) assay, which has been adapted for detection of individual primed T cell</w:t>
      </w:r>
      <w:r>
        <w:rPr>
          <w:rFonts w:ascii="Calibri" w:hAnsi="Calibri"/>
          <w:sz w:val="24"/>
          <w:szCs w:val="24"/>
          <w:lang w:val="en-GB"/>
        </w:rPr>
        <w:t xml:space="preserve">s secreting specific cytokines </w:t>
      </w:r>
      <w:r w:rsidRPr="00A63C68">
        <w:rPr>
          <w:rFonts w:ascii="Calibri" w:hAnsi="Calibri"/>
          <w:sz w:val="24"/>
          <w:szCs w:val="24"/>
          <w:lang w:val="en-GB"/>
        </w:rPr>
        <w:t xml:space="preserve">after antigenic stimulation, in case of Fluorospot </w:t>
      </w:r>
      <w:r w:rsidRPr="00A63C68">
        <w:rPr>
          <w:rFonts w:ascii="Calibri" w:hAnsi="Calibri"/>
          <w:sz w:val="24"/>
          <w:szCs w:val="24"/>
        </w:rPr>
        <w:t>utilizing fluorescent-based detection systems, enabling the detection of cells secreting either of two different cytokines, or both, in the same well</w:t>
      </w:r>
      <w:r w:rsidRPr="00A63C68">
        <w:rPr>
          <w:rFonts w:ascii="Calibri" w:hAnsi="Calibri"/>
          <w:sz w:val="24"/>
          <w:szCs w:val="24"/>
          <w:lang w:val="en-GB"/>
        </w:rPr>
        <w:t>. An ethanol treated PVDF (polyvinylidene difluoride) 96-well microplate is pre-coated with primary monoclonal antibodies specific for human IFN</w:t>
      </w:r>
      <w:r w:rsidRPr="00A63C68">
        <w:rPr>
          <w:rFonts w:ascii="Calibri" w:hAnsi="Calibri"/>
          <w:sz w:val="24"/>
          <w:szCs w:val="24"/>
        </w:rPr>
        <w:t>γ</w:t>
      </w:r>
      <w:r>
        <w:rPr>
          <w:rFonts w:ascii="Calibri" w:hAnsi="Calibri"/>
          <w:sz w:val="24"/>
          <w:szCs w:val="24"/>
          <w:lang w:val="en-GB"/>
        </w:rPr>
        <w:t xml:space="preserve"> </w:t>
      </w:r>
      <w:r w:rsidRPr="00A63C68">
        <w:rPr>
          <w:rFonts w:ascii="Calibri" w:hAnsi="Calibri"/>
          <w:sz w:val="24"/>
          <w:szCs w:val="24"/>
          <w:lang w:val="en-GB"/>
        </w:rPr>
        <w:t>and IL-2. Frozen cells - PBMNCs isolated from kidney transplant recipient - are th</w:t>
      </w:r>
      <w:r>
        <w:rPr>
          <w:rFonts w:ascii="Calibri" w:hAnsi="Calibri"/>
          <w:sz w:val="24"/>
          <w:szCs w:val="24"/>
          <w:lang w:val="en-GB"/>
        </w:rPr>
        <w:t>awed and rested overnight at 37</w:t>
      </w:r>
      <w:r w:rsidRPr="00A63C68">
        <w:rPr>
          <w:rFonts w:ascii="Calibri" w:hAnsi="Calibri"/>
          <w:sz w:val="24"/>
          <w:szCs w:val="24"/>
          <w:lang w:val="en-GB"/>
        </w:rPr>
        <w:t xml:space="preserve">°C in a 5% CO2, resuspended and pipetted into the wells. In the next step stimuli is added into each well; donor PBMNCs or splenocytes thawed as described above for induction of </w:t>
      </w:r>
      <w:r w:rsidRPr="00A63C68">
        <w:rPr>
          <w:rFonts w:ascii="Calibri" w:hAnsi="Calibri"/>
          <w:sz w:val="24"/>
          <w:szCs w:val="24"/>
          <w:lang w:val="en-GB"/>
        </w:rPr>
        <w:lastRenderedPageBreak/>
        <w:t xml:space="preserve">allogeneic reaction, commercially available CMV peptide pools pp65 and IE-antigen for induction of CMV imunity reaction. Monoclonal antibody anti-CD 3-2 is used </w:t>
      </w:r>
      <w:r>
        <w:rPr>
          <w:rFonts w:ascii="Calibri" w:hAnsi="Calibri"/>
          <w:sz w:val="24"/>
          <w:szCs w:val="24"/>
          <w:lang w:val="en-GB"/>
        </w:rPr>
        <w:t>as a positive control stimuly</w:t>
      </w:r>
      <w:r w:rsidRPr="00A63C68">
        <w:rPr>
          <w:rFonts w:ascii="Calibri" w:hAnsi="Calibri"/>
          <w:sz w:val="24"/>
          <w:szCs w:val="24"/>
          <w:lang w:val="en-GB"/>
        </w:rPr>
        <w:t>. After the antigens for stimulation are added appropriately, the</w:t>
      </w:r>
      <w:r>
        <w:rPr>
          <w:rFonts w:ascii="Calibri" w:hAnsi="Calibri"/>
          <w:sz w:val="24"/>
          <w:szCs w:val="24"/>
          <w:lang w:val="en-GB"/>
        </w:rPr>
        <w:t xml:space="preserve"> microplate is placed into a 37</w:t>
      </w:r>
      <w:r w:rsidRPr="00A63C68">
        <w:rPr>
          <w:rFonts w:ascii="Calibri" w:hAnsi="Calibri"/>
          <w:sz w:val="24"/>
          <w:szCs w:val="24"/>
          <w:lang w:val="en-GB"/>
        </w:rPr>
        <w:t>°C incubator over night. During this incubation period, the immobilized antibodies in the immediate vicinity of the secreting cells bind secreted IFN</w:t>
      </w:r>
      <w:r w:rsidRPr="00A63C68">
        <w:rPr>
          <w:rFonts w:ascii="Calibri" w:hAnsi="Calibri"/>
          <w:sz w:val="24"/>
          <w:szCs w:val="24"/>
        </w:rPr>
        <w:t>γ and IL-2</w:t>
      </w:r>
      <w:r w:rsidRPr="00A63C68">
        <w:rPr>
          <w:rFonts w:ascii="Calibri" w:hAnsi="Calibri"/>
          <w:sz w:val="24"/>
          <w:szCs w:val="24"/>
          <w:lang w:val="en-GB"/>
        </w:rPr>
        <w:t>. After washing away any cells and unbound substances, biotinylated polyclonal secondary antibodies specific for human IFN</w:t>
      </w:r>
      <w:r w:rsidRPr="00A63C68">
        <w:rPr>
          <w:rFonts w:ascii="Calibri" w:hAnsi="Calibri"/>
          <w:sz w:val="24"/>
          <w:szCs w:val="24"/>
        </w:rPr>
        <w:t>γ</w:t>
      </w:r>
      <w:r w:rsidRPr="00A63C68">
        <w:rPr>
          <w:rFonts w:ascii="Calibri" w:hAnsi="Calibri"/>
          <w:sz w:val="24"/>
          <w:szCs w:val="24"/>
          <w:lang w:val="en-GB"/>
        </w:rPr>
        <w:t xml:space="preserve"> and IL-2 are added. Following a wash and visualization </w:t>
      </w:r>
      <w:r w:rsidRPr="007A487A">
        <w:rPr>
          <w:rFonts w:ascii="Calibri" w:hAnsi="Calibri"/>
          <w:sz w:val="24"/>
          <w:szCs w:val="24"/>
          <w:lang w:val="en-GB"/>
        </w:rPr>
        <w:t>step a red and green colored precipitates form and appear as spots at the sites of cytokines localizations, with each individual spot representing an individual IFN</w:t>
      </w:r>
      <w:r w:rsidRPr="007A487A">
        <w:rPr>
          <w:rFonts w:ascii="Calibri" w:hAnsi="Calibri"/>
          <w:sz w:val="24"/>
          <w:szCs w:val="24"/>
        </w:rPr>
        <w:t>γ</w:t>
      </w:r>
      <w:r w:rsidRPr="007A487A">
        <w:rPr>
          <w:rFonts w:ascii="Calibri" w:hAnsi="Calibri"/>
          <w:sz w:val="24"/>
          <w:szCs w:val="24"/>
          <w:lang w:val="en-GB"/>
        </w:rPr>
        <w:t>/IL-2 secreting cell.  Finally, t</w:t>
      </w:r>
      <w:r w:rsidRPr="007A487A">
        <w:rPr>
          <w:rFonts w:ascii="Calibri" w:hAnsi="Calibri"/>
          <w:sz w:val="24"/>
          <w:szCs w:val="24"/>
        </w:rPr>
        <w:t>he dried plate is analyzed in an automated fluorescence plate reader fitted with separate filters for the two fluorophores.</w:t>
      </w:r>
    </w:p>
    <w:p w:rsidR="00FC0CB8" w:rsidRPr="007A487A" w:rsidRDefault="00FC0CB8" w:rsidP="007A487A">
      <w:pPr>
        <w:spacing w:line="360" w:lineRule="auto"/>
        <w:jc w:val="both"/>
        <w:rPr>
          <w:rFonts w:ascii="Calibri" w:hAnsi="Calibri" w:cs="Calibri"/>
          <w:sz w:val="24"/>
          <w:szCs w:val="24"/>
          <w:lang w:val="en-US"/>
        </w:rPr>
      </w:pPr>
    </w:p>
    <w:p w:rsidR="00FC0CB8" w:rsidRPr="007A487A" w:rsidRDefault="00FC0CB8" w:rsidP="007A487A">
      <w:pPr>
        <w:spacing w:line="360" w:lineRule="auto"/>
        <w:rPr>
          <w:rFonts w:ascii="Calibri" w:hAnsi="Calibri"/>
          <w:b/>
          <w:sz w:val="24"/>
          <w:szCs w:val="24"/>
        </w:rPr>
      </w:pPr>
      <w:r w:rsidRPr="007A487A">
        <w:rPr>
          <w:rFonts w:ascii="Calibri" w:hAnsi="Calibri"/>
          <w:b/>
          <w:sz w:val="24"/>
          <w:szCs w:val="24"/>
        </w:rPr>
        <w:t xml:space="preserve">Monitoring of donor specific antibodies </w:t>
      </w:r>
      <w:r>
        <w:rPr>
          <w:rFonts w:ascii="Calibri" w:hAnsi="Calibri"/>
          <w:b/>
          <w:sz w:val="24"/>
          <w:szCs w:val="24"/>
        </w:rPr>
        <w:t xml:space="preserve">(DSA) </w:t>
      </w:r>
      <w:r w:rsidRPr="007A487A">
        <w:rPr>
          <w:rFonts w:ascii="Calibri" w:hAnsi="Calibri"/>
          <w:b/>
          <w:sz w:val="24"/>
          <w:szCs w:val="24"/>
        </w:rPr>
        <w:t xml:space="preserve">by single antigen </w:t>
      </w:r>
      <w:r>
        <w:rPr>
          <w:rFonts w:ascii="Calibri" w:hAnsi="Calibri"/>
          <w:b/>
          <w:sz w:val="24"/>
          <w:szCs w:val="24"/>
        </w:rPr>
        <w:t xml:space="preserve">bead (SAB) testing by </w:t>
      </w:r>
      <w:r w:rsidRPr="007A487A">
        <w:rPr>
          <w:rFonts w:ascii="Calibri" w:hAnsi="Calibri"/>
          <w:b/>
          <w:sz w:val="24"/>
          <w:szCs w:val="24"/>
        </w:rPr>
        <w:t>Luminex</w:t>
      </w:r>
    </w:p>
    <w:p w:rsidR="00FC0CB8" w:rsidRDefault="00FC0CB8" w:rsidP="007A487A">
      <w:pPr>
        <w:spacing w:line="360" w:lineRule="auto"/>
        <w:jc w:val="both"/>
        <w:rPr>
          <w:rFonts w:ascii="Calibri" w:hAnsi="Calibri"/>
          <w:sz w:val="24"/>
          <w:szCs w:val="24"/>
          <w:lang w:val="en-GB"/>
        </w:rPr>
      </w:pPr>
      <w:r>
        <w:rPr>
          <w:rFonts w:ascii="Calibri" w:hAnsi="Calibri"/>
          <w:sz w:val="24"/>
          <w:szCs w:val="24"/>
          <w:lang w:val="en-GB"/>
        </w:rPr>
        <w:t>Except for clinically indicated cases DSA will be tested in predefined time points. In all patients DSA will be performed pretransplantation, and at 3, 12, and 36 months after transplantation.</w:t>
      </w:r>
    </w:p>
    <w:p w:rsidR="00FC0CB8" w:rsidRPr="007A487A" w:rsidRDefault="00FC0CB8" w:rsidP="007A487A">
      <w:pPr>
        <w:spacing w:line="360" w:lineRule="auto"/>
        <w:jc w:val="both"/>
        <w:rPr>
          <w:rFonts w:ascii="Calibri" w:hAnsi="Calibri"/>
          <w:sz w:val="24"/>
          <w:szCs w:val="24"/>
        </w:rPr>
      </w:pPr>
      <w:r>
        <w:rPr>
          <w:rFonts w:ascii="Calibri" w:hAnsi="Calibri"/>
          <w:sz w:val="24"/>
          <w:szCs w:val="24"/>
        </w:rPr>
        <w:t xml:space="preserve">Qualitative DSA evaluation will be performed with the use of commercially available kits </w:t>
      </w:r>
      <w:r w:rsidRPr="007A487A">
        <w:rPr>
          <w:rFonts w:ascii="Calibri" w:hAnsi="Calibri"/>
          <w:sz w:val="24"/>
          <w:szCs w:val="24"/>
        </w:rPr>
        <w:t>(LIFECODES LSA</w:t>
      </w:r>
      <w:r w:rsidRPr="007A487A">
        <w:rPr>
          <w:rFonts w:ascii="Calibri" w:hAnsi="Calibri"/>
          <w:sz w:val="24"/>
          <w:szCs w:val="24"/>
          <w:vertAlign w:val="superscript"/>
        </w:rPr>
        <w:t>TM</w:t>
      </w:r>
      <w:r w:rsidRPr="007A487A">
        <w:rPr>
          <w:rFonts w:ascii="Calibri" w:hAnsi="Calibri"/>
          <w:sz w:val="24"/>
          <w:szCs w:val="24"/>
        </w:rPr>
        <w:t xml:space="preserve"> Class I; LIFECODES LSA</w:t>
      </w:r>
      <w:r w:rsidRPr="007A487A">
        <w:rPr>
          <w:rFonts w:ascii="Calibri" w:hAnsi="Calibri"/>
          <w:sz w:val="24"/>
          <w:szCs w:val="24"/>
          <w:vertAlign w:val="superscript"/>
        </w:rPr>
        <w:t>TM</w:t>
      </w:r>
      <w:r w:rsidRPr="007A487A">
        <w:rPr>
          <w:rFonts w:ascii="Calibri" w:hAnsi="Calibri"/>
          <w:sz w:val="24"/>
          <w:szCs w:val="24"/>
        </w:rPr>
        <w:t xml:space="preserve"> Class II; Gen-Probe Transplant Diagnostics, USA). </w:t>
      </w:r>
      <w:r>
        <w:rPr>
          <w:rFonts w:ascii="Calibri" w:hAnsi="Calibri"/>
          <w:sz w:val="24"/>
          <w:szCs w:val="24"/>
        </w:rPr>
        <w:t>The method is based on incubation of specific microparticules binding HLA glycoproteins of class I or II with a small volume of serum of the patient tested.</w:t>
      </w:r>
      <w:r w:rsidRPr="007A487A">
        <w:rPr>
          <w:rFonts w:ascii="Calibri" w:hAnsi="Calibri"/>
          <w:sz w:val="24"/>
          <w:szCs w:val="24"/>
        </w:rPr>
        <w:t xml:space="preserve"> </w:t>
      </w:r>
      <w:r>
        <w:rPr>
          <w:rFonts w:ascii="Calibri" w:hAnsi="Calibri"/>
          <w:sz w:val="24"/>
          <w:szCs w:val="24"/>
        </w:rPr>
        <w:t xml:space="preserve">The specimen is washed several times, thereafter anti-IgG antibody with binded </w:t>
      </w:r>
      <w:r w:rsidRPr="007A487A">
        <w:rPr>
          <w:rFonts w:ascii="Calibri" w:hAnsi="Calibri"/>
          <w:sz w:val="24"/>
          <w:szCs w:val="24"/>
        </w:rPr>
        <w:t>phycoerythrin</w:t>
      </w:r>
      <w:r>
        <w:rPr>
          <w:rFonts w:ascii="Calibri" w:hAnsi="Calibri"/>
          <w:sz w:val="24"/>
          <w:szCs w:val="24"/>
        </w:rPr>
        <w:t xml:space="preserve"> is added to each specimen</w:t>
      </w:r>
      <w:r w:rsidRPr="007A487A">
        <w:rPr>
          <w:rFonts w:ascii="Calibri" w:hAnsi="Calibri"/>
          <w:sz w:val="24"/>
          <w:szCs w:val="24"/>
        </w:rPr>
        <w:t xml:space="preserve">. </w:t>
      </w:r>
      <w:r>
        <w:rPr>
          <w:rFonts w:ascii="Calibri" w:hAnsi="Calibri"/>
          <w:sz w:val="24"/>
          <w:szCs w:val="24"/>
        </w:rPr>
        <w:t xml:space="preserve">Thereafter, the specimen is incubated, diluted and analyzed using </w:t>
      </w:r>
      <w:r w:rsidRPr="007A487A">
        <w:rPr>
          <w:rFonts w:ascii="Calibri" w:hAnsi="Calibri"/>
          <w:sz w:val="24"/>
          <w:szCs w:val="24"/>
        </w:rPr>
        <w:t xml:space="preserve">Luminex </w:t>
      </w:r>
      <w:r>
        <w:rPr>
          <w:rFonts w:ascii="Calibri" w:hAnsi="Calibri"/>
          <w:sz w:val="24"/>
          <w:szCs w:val="24"/>
        </w:rPr>
        <w:t xml:space="preserve">equipment </w:t>
      </w:r>
      <w:r w:rsidRPr="007A487A">
        <w:rPr>
          <w:rFonts w:ascii="Calibri" w:hAnsi="Calibri"/>
          <w:sz w:val="24"/>
          <w:szCs w:val="24"/>
        </w:rPr>
        <w:t>(Luminex</w:t>
      </w:r>
      <w:r w:rsidRPr="007A487A">
        <w:rPr>
          <w:rFonts w:ascii="Calibri" w:hAnsi="Calibri"/>
          <w:sz w:val="24"/>
          <w:szCs w:val="24"/>
          <w:vertAlign w:val="superscript"/>
        </w:rPr>
        <w:t xml:space="preserve">® </w:t>
      </w:r>
      <w:r w:rsidRPr="007A487A">
        <w:rPr>
          <w:rFonts w:ascii="Calibri" w:hAnsi="Calibri"/>
          <w:sz w:val="24"/>
          <w:szCs w:val="24"/>
        </w:rPr>
        <w:t>100/200</w:t>
      </w:r>
      <w:r w:rsidRPr="007A487A">
        <w:rPr>
          <w:rFonts w:ascii="Calibri" w:hAnsi="Calibri"/>
          <w:sz w:val="24"/>
          <w:szCs w:val="24"/>
          <w:vertAlign w:val="superscript"/>
        </w:rPr>
        <w:t>TM</w:t>
      </w:r>
      <w:r w:rsidRPr="007A487A">
        <w:rPr>
          <w:rFonts w:ascii="Calibri" w:hAnsi="Calibri"/>
          <w:sz w:val="24"/>
          <w:szCs w:val="24"/>
        </w:rPr>
        <w:t xml:space="preserve"> System, USA). </w:t>
      </w:r>
      <w:r>
        <w:rPr>
          <w:rFonts w:ascii="Calibri" w:hAnsi="Calibri"/>
          <w:sz w:val="24"/>
          <w:szCs w:val="24"/>
        </w:rPr>
        <w:t>The intensity of signals of each microparticle is analyzed by software and evaluated as positive or negative for antitibody binded. The results are expressed as a mean fluorescence intensity (MFI) for each HLA specificity. For the study pusposes, a fixed cutoff of 1000 normalized MFI will be applied.</w:t>
      </w:r>
    </w:p>
    <w:p w:rsidR="00FC0CB8" w:rsidRPr="007A487A" w:rsidRDefault="00FC0CB8" w:rsidP="007A487A">
      <w:pPr>
        <w:spacing w:line="360" w:lineRule="auto"/>
        <w:jc w:val="both"/>
        <w:rPr>
          <w:rFonts w:ascii="Calibri" w:hAnsi="Calibri" w:cs="Calibri"/>
          <w:sz w:val="24"/>
          <w:szCs w:val="24"/>
          <w:lang w:val="en-US"/>
        </w:rPr>
      </w:pPr>
    </w:p>
    <w:p w:rsidR="00FC0CB8" w:rsidRPr="007A487A" w:rsidRDefault="00FC0CB8" w:rsidP="007A487A">
      <w:pPr>
        <w:spacing w:line="360" w:lineRule="auto"/>
        <w:jc w:val="both"/>
        <w:rPr>
          <w:rFonts w:ascii="Calibri" w:hAnsi="Calibri"/>
          <w:b/>
          <w:sz w:val="24"/>
          <w:szCs w:val="24"/>
          <w:lang w:val="en-US"/>
        </w:rPr>
      </w:pPr>
      <w:r w:rsidRPr="00085EB6">
        <w:rPr>
          <w:rFonts w:ascii="Calibri" w:hAnsi="Calibri"/>
          <w:b/>
          <w:sz w:val="24"/>
          <w:szCs w:val="24"/>
          <w:lang w:val="en-US"/>
        </w:rPr>
        <w:t xml:space="preserve">Allograft </w:t>
      </w:r>
      <w:r w:rsidRPr="007A487A">
        <w:rPr>
          <w:rFonts w:ascii="Calibri" w:hAnsi="Calibri"/>
          <w:b/>
          <w:sz w:val="24"/>
          <w:szCs w:val="24"/>
          <w:lang w:val="en-US"/>
        </w:rPr>
        <w:t>biopsy – indication and sample processing</w:t>
      </w:r>
    </w:p>
    <w:p w:rsidR="00FC0CB8" w:rsidRDefault="00FC0CB8" w:rsidP="007A487A">
      <w:pPr>
        <w:spacing w:line="360" w:lineRule="auto"/>
        <w:jc w:val="both"/>
        <w:rPr>
          <w:rFonts w:ascii="Calibri" w:hAnsi="Calibri"/>
          <w:sz w:val="24"/>
          <w:szCs w:val="24"/>
          <w:lang w:val="en-US"/>
        </w:rPr>
      </w:pPr>
      <w:r w:rsidRPr="007A487A">
        <w:rPr>
          <w:rFonts w:ascii="Calibri" w:hAnsi="Calibri"/>
          <w:sz w:val="24"/>
          <w:szCs w:val="24"/>
          <w:lang w:val="en-US"/>
        </w:rPr>
        <w:t>As a rule, suspected</w:t>
      </w:r>
      <w:r w:rsidRPr="00D34418">
        <w:rPr>
          <w:rFonts w:ascii="Calibri" w:hAnsi="Calibri"/>
          <w:sz w:val="24"/>
          <w:szCs w:val="24"/>
          <w:lang w:val="en-US"/>
        </w:rPr>
        <w:t xml:space="preserve"> acute rejection will be confirmed by core biopsy </w:t>
      </w:r>
      <w:r>
        <w:rPr>
          <w:rFonts w:ascii="Calibri" w:hAnsi="Calibri"/>
          <w:sz w:val="24"/>
          <w:szCs w:val="24"/>
          <w:lang w:val="en-US"/>
        </w:rPr>
        <w:t xml:space="preserve">(16 or 18-gauge needle) </w:t>
      </w:r>
      <w:r w:rsidRPr="00D34418">
        <w:rPr>
          <w:rFonts w:ascii="Calibri" w:hAnsi="Calibri"/>
          <w:sz w:val="24"/>
          <w:szCs w:val="24"/>
          <w:lang w:val="en-US"/>
        </w:rPr>
        <w:t>using the up-dated Banff 97 classificati</w:t>
      </w:r>
      <w:r>
        <w:rPr>
          <w:rFonts w:ascii="Calibri" w:hAnsi="Calibri"/>
          <w:sz w:val="24"/>
          <w:szCs w:val="24"/>
          <w:lang w:val="en-US"/>
        </w:rPr>
        <w:t>on (Racusen LC, 1999, Sis B, 2010</w:t>
      </w:r>
      <w:r w:rsidRPr="00D34418">
        <w:rPr>
          <w:rFonts w:ascii="Calibri" w:hAnsi="Calibri"/>
          <w:sz w:val="24"/>
          <w:szCs w:val="24"/>
          <w:lang w:val="en-US"/>
        </w:rPr>
        <w:t xml:space="preserve">). Relevant Banff up-dates during the study period may be incorporated. Indications for biopsy include an </w:t>
      </w:r>
      <w:r w:rsidRPr="00D34418">
        <w:rPr>
          <w:rFonts w:ascii="Calibri" w:hAnsi="Calibri"/>
          <w:sz w:val="24"/>
          <w:szCs w:val="24"/>
          <w:lang w:val="en-US"/>
        </w:rPr>
        <w:lastRenderedPageBreak/>
        <w:t xml:space="preserve">increase in serum creatinine by more than 20% that can not be explained otherwise, and delayed graft function (DGF). Biopsy will be also undertaken in cases of suboptimal development of graft function (serum creatinine &gt;160 μmol/L). Biopsy-proven acute rejection will be defined as grade </w:t>
      </w:r>
      <w:r w:rsidRPr="00D34418">
        <w:rPr>
          <w:rFonts w:ascii="Calibri" w:hAnsi="Calibri"/>
          <w:sz w:val="24"/>
          <w:szCs w:val="24"/>
          <w:lang w:val="en-US"/>
        </w:rPr>
        <w:sym w:font="Symbol" w:char="F0B3"/>
      </w:r>
      <w:r w:rsidRPr="00D34418">
        <w:rPr>
          <w:rFonts w:ascii="Calibri" w:hAnsi="Calibri"/>
          <w:sz w:val="24"/>
          <w:szCs w:val="24"/>
          <w:lang w:val="en-US"/>
        </w:rPr>
        <w:t xml:space="preserve">IA and/or the presence of antibody-mediated rejection (AMR) with C4d and donor specific antibody positivity, with presumed acute rejection defined by the presence of "borderline changes“. Subclinical rejection will be assessed using protocol biopsy at Month 3 after RTx. Late protocol biopsy will be performed at Month 36 after RTx with the use 18-gauge needle (biopsy gun). A minimum of two cores will be obtained. </w:t>
      </w:r>
    </w:p>
    <w:p w:rsidR="00FC0CB8" w:rsidRPr="00D34418" w:rsidRDefault="00FC0CB8" w:rsidP="00D34418">
      <w:pPr>
        <w:spacing w:line="360" w:lineRule="auto"/>
        <w:jc w:val="both"/>
        <w:rPr>
          <w:rFonts w:ascii="Calibri" w:hAnsi="Calibri"/>
          <w:sz w:val="24"/>
          <w:szCs w:val="24"/>
          <w:lang w:val="en-US"/>
        </w:rPr>
      </w:pPr>
    </w:p>
    <w:p w:rsidR="00FC0CB8" w:rsidRPr="00541706" w:rsidRDefault="00FC0CB8" w:rsidP="00D34418">
      <w:pPr>
        <w:pStyle w:val="Zkladntext2"/>
        <w:spacing w:after="0" w:line="360" w:lineRule="auto"/>
        <w:ind w:left="567"/>
        <w:jc w:val="both"/>
        <w:rPr>
          <w:rFonts w:ascii="Calibri" w:hAnsi="Calibri"/>
          <w:i/>
        </w:rPr>
      </w:pPr>
      <w:r w:rsidRPr="00541706">
        <w:rPr>
          <w:rFonts w:ascii="Calibri" w:hAnsi="Calibri"/>
          <w:b/>
          <w:i/>
        </w:rPr>
        <w:t>Racusen LC, Solez K, Colvin RB et al.</w:t>
      </w:r>
      <w:r w:rsidRPr="00541706">
        <w:rPr>
          <w:rFonts w:ascii="Calibri" w:hAnsi="Calibri"/>
          <w:i/>
        </w:rPr>
        <w:t xml:space="preserve"> The Banff 97 working classification of renal allograft pathology. Kidney Int 1999; 55: 713-723.</w:t>
      </w:r>
    </w:p>
    <w:p w:rsidR="00FC0CB8" w:rsidRPr="00541706" w:rsidRDefault="00FC0CB8" w:rsidP="00D34418">
      <w:pPr>
        <w:pStyle w:val="Zkladntext2"/>
        <w:spacing w:after="0" w:line="360" w:lineRule="auto"/>
        <w:ind w:left="567"/>
        <w:jc w:val="both"/>
        <w:rPr>
          <w:rFonts w:ascii="Calibri" w:hAnsi="Calibri"/>
          <w:i/>
        </w:rPr>
      </w:pPr>
      <w:r>
        <w:rPr>
          <w:rFonts w:ascii="Calibri" w:hAnsi="Calibri"/>
          <w:b/>
          <w:i/>
        </w:rPr>
        <w:t xml:space="preserve">Sis B, Mengel M, Haas M et al. </w:t>
      </w:r>
      <w:r w:rsidRPr="006559C8">
        <w:rPr>
          <w:rStyle w:val="highlight"/>
          <w:rFonts w:ascii="Calibri" w:hAnsi="Calibri"/>
          <w:i/>
        </w:rPr>
        <w:t>Banff</w:t>
      </w:r>
      <w:r w:rsidRPr="006559C8">
        <w:rPr>
          <w:rFonts w:ascii="Calibri" w:hAnsi="Calibri"/>
          <w:i/>
        </w:rPr>
        <w:t xml:space="preserve"> '</w:t>
      </w:r>
      <w:r w:rsidRPr="006559C8">
        <w:rPr>
          <w:rStyle w:val="highlight"/>
          <w:rFonts w:ascii="Calibri" w:hAnsi="Calibri"/>
          <w:i/>
        </w:rPr>
        <w:t>09</w:t>
      </w:r>
      <w:r w:rsidRPr="006559C8">
        <w:rPr>
          <w:rFonts w:ascii="Calibri" w:hAnsi="Calibri"/>
          <w:i/>
        </w:rPr>
        <w:t xml:space="preserve"> meeting report: antibody mediated graft deterioration and implementation of </w:t>
      </w:r>
      <w:r w:rsidRPr="006559C8">
        <w:rPr>
          <w:rStyle w:val="highlight"/>
          <w:rFonts w:ascii="Calibri" w:hAnsi="Calibri"/>
          <w:i/>
        </w:rPr>
        <w:t>Banff</w:t>
      </w:r>
      <w:r w:rsidRPr="006559C8">
        <w:rPr>
          <w:rFonts w:ascii="Calibri" w:hAnsi="Calibri"/>
          <w:i/>
        </w:rPr>
        <w:t xml:space="preserve"> working groups.</w:t>
      </w:r>
      <w:r>
        <w:rPr>
          <w:rFonts w:ascii="Calibri" w:hAnsi="Calibri"/>
          <w:i/>
        </w:rPr>
        <w:t xml:space="preserve"> Am J Transplant 2010; 10: 464-471</w:t>
      </w:r>
      <w:r w:rsidRPr="00541706">
        <w:rPr>
          <w:rFonts w:ascii="Calibri" w:hAnsi="Calibri"/>
          <w:i/>
        </w:rPr>
        <w:t>.</w:t>
      </w:r>
    </w:p>
    <w:p w:rsidR="00FC0CB8" w:rsidRPr="00D34418" w:rsidRDefault="00FC0CB8" w:rsidP="00D34418">
      <w:pPr>
        <w:pStyle w:val="Zkladntext2"/>
        <w:spacing w:after="0" w:line="360" w:lineRule="auto"/>
        <w:ind w:left="567"/>
        <w:jc w:val="both"/>
        <w:rPr>
          <w:rFonts w:ascii="Calibri" w:hAnsi="Calibri"/>
        </w:rPr>
      </w:pPr>
    </w:p>
    <w:p w:rsidR="00FC0CB8" w:rsidRPr="009F52AE" w:rsidRDefault="00FC0CB8" w:rsidP="00C325FB">
      <w:pPr>
        <w:spacing w:line="360" w:lineRule="auto"/>
        <w:jc w:val="both"/>
        <w:rPr>
          <w:rFonts w:ascii="Calibri" w:hAnsi="Calibri"/>
          <w:b/>
          <w:sz w:val="24"/>
          <w:szCs w:val="24"/>
          <w:lang w:val="en-US"/>
        </w:rPr>
      </w:pPr>
      <w:r w:rsidRPr="00D34418">
        <w:rPr>
          <w:rFonts w:ascii="Calibri" w:hAnsi="Calibri"/>
          <w:color w:val="000000"/>
          <w:sz w:val="24"/>
          <w:szCs w:val="24"/>
          <w:lang w:val="en-US"/>
        </w:rPr>
        <w:t>T</w:t>
      </w:r>
      <w:r>
        <w:rPr>
          <w:rFonts w:ascii="Calibri" w:hAnsi="Calibri"/>
          <w:color w:val="000000"/>
          <w:sz w:val="24"/>
          <w:szCs w:val="24"/>
          <w:lang w:val="en-US"/>
        </w:rPr>
        <w:t>issues for light microscopy will be</w:t>
      </w:r>
      <w:r w:rsidRPr="00D34418">
        <w:rPr>
          <w:rFonts w:ascii="Calibri" w:hAnsi="Calibri"/>
          <w:color w:val="000000"/>
          <w:sz w:val="24"/>
          <w:szCs w:val="24"/>
          <w:lang w:val="en-US"/>
        </w:rPr>
        <w:t xml:space="preserve"> fixed in 4% formaldehyde, embedded in paraffin using routine procedure. Sections </w:t>
      </w:r>
      <w:r w:rsidRPr="00D34418">
        <w:rPr>
          <w:rFonts w:ascii="Calibri" w:hAnsi="Calibri"/>
          <w:sz w:val="24"/>
          <w:szCs w:val="24"/>
          <w:lang w:val="en-US"/>
        </w:rPr>
        <w:t>3</w:t>
      </w:r>
      <w:r w:rsidRPr="00D34418">
        <w:rPr>
          <w:rFonts w:ascii="Calibri" w:hAnsi="Calibri"/>
          <w:sz w:val="24"/>
          <w:szCs w:val="24"/>
          <w:lang w:val="en-US"/>
        </w:rPr>
        <w:sym w:font="Symbol" w:char="F06D"/>
      </w:r>
      <w:r w:rsidRPr="00D34418">
        <w:rPr>
          <w:rFonts w:ascii="Calibri" w:hAnsi="Calibri"/>
          <w:sz w:val="24"/>
          <w:szCs w:val="24"/>
          <w:lang w:val="en-US"/>
        </w:rPr>
        <w:t xml:space="preserve">m </w:t>
      </w:r>
      <w:r>
        <w:rPr>
          <w:rFonts w:ascii="Calibri" w:hAnsi="Calibri"/>
          <w:color w:val="000000"/>
          <w:sz w:val="24"/>
          <w:szCs w:val="24"/>
          <w:lang w:val="en-US"/>
        </w:rPr>
        <w:t>thick will be</w:t>
      </w:r>
      <w:r w:rsidRPr="00D34418">
        <w:rPr>
          <w:rFonts w:ascii="Calibri" w:hAnsi="Calibri"/>
          <w:color w:val="000000"/>
          <w:sz w:val="24"/>
          <w:szCs w:val="24"/>
          <w:lang w:val="en-US"/>
        </w:rPr>
        <w:t xml:space="preserve"> cut from tissue blocks and stained with hematoxylin and eosin, blue trichrome, silver staining, and Congo red staining. </w:t>
      </w:r>
      <w:r>
        <w:rPr>
          <w:rFonts w:ascii="Calibri" w:hAnsi="Calibri"/>
          <w:color w:val="000000"/>
          <w:sz w:val="24"/>
          <w:szCs w:val="24"/>
          <w:lang w:val="en-US"/>
        </w:rPr>
        <w:t>Immunohistochemical analysis will be</w:t>
      </w:r>
      <w:r w:rsidRPr="00D34418">
        <w:rPr>
          <w:rFonts w:ascii="Calibri" w:hAnsi="Calibri"/>
          <w:color w:val="000000"/>
          <w:sz w:val="24"/>
          <w:szCs w:val="24"/>
          <w:lang w:val="en-US"/>
        </w:rPr>
        <w:t xml:space="preserve"> performed in the Ventana automated slide stainer without </w:t>
      </w:r>
      <w:r>
        <w:rPr>
          <w:rFonts w:ascii="Calibri" w:hAnsi="Calibri"/>
          <w:color w:val="000000"/>
          <w:sz w:val="24"/>
          <w:szCs w:val="24"/>
          <w:lang w:val="en-US"/>
        </w:rPr>
        <w:t>manual antigen retrieval and is</w:t>
      </w:r>
      <w:r w:rsidRPr="00D34418">
        <w:rPr>
          <w:rFonts w:ascii="Calibri" w:hAnsi="Calibri"/>
          <w:color w:val="000000"/>
          <w:sz w:val="24"/>
          <w:szCs w:val="24"/>
          <w:lang w:val="en-US"/>
        </w:rPr>
        <w:t xml:space="preserve"> detected using Ventana ultraView </w:t>
      </w:r>
      <w:r w:rsidRPr="00D34418">
        <w:rPr>
          <w:rFonts w:ascii="Calibri" w:hAnsi="Calibri"/>
          <w:sz w:val="24"/>
          <w:szCs w:val="24"/>
          <w:lang w:val="en-US"/>
        </w:rPr>
        <w:t>universal DAB detection kit (Ventana-Roche, Tucson, AZ) as recommended by manufacturer. The primary antibodies against C4d (Venatana-Roche) and SV40 (Ventana-Roche), p53 (Ventana-Roche), and CMV (Dako, Glostrup, Denmark</w:t>
      </w:r>
      <w:r>
        <w:rPr>
          <w:rFonts w:ascii="Calibri" w:hAnsi="Calibri"/>
          <w:sz w:val="24"/>
          <w:szCs w:val="24"/>
          <w:lang w:val="en-US"/>
        </w:rPr>
        <w:t>) will be</w:t>
      </w:r>
      <w:r w:rsidRPr="00D34418">
        <w:rPr>
          <w:rFonts w:ascii="Calibri" w:hAnsi="Calibri"/>
          <w:sz w:val="24"/>
          <w:szCs w:val="24"/>
          <w:lang w:val="en-US"/>
        </w:rPr>
        <w:t xml:space="preserve"> used. Ap</w:t>
      </w:r>
      <w:r>
        <w:rPr>
          <w:rFonts w:ascii="Calibri" w:hAnsi="Calibri"/>
          <w:sz w:val="24"/>
          <w:szCs w:val="24"/>
          <w:lang w:val="en-US"/>
        </w:rPr>
        <w:t>propriate positive controls will be</w:t>
      </w:r>
      <w:r w:rsidRPr="00D34418">
        <w:rPr>
          <w:rFonts w:ascii="Calibri" w:hAnsi="Calibri"/>
          <w:sz w:val="24"/>
          <w:szCs w:val="24"/>
          <w:lang w:val="en-US"/>
        </w:rPr>
        <w:t xml:space="preserve"> employed. In all bio</w:t>
      </w:r>
      <w:r>
        <w:rPr>
          <w:rFonts w:ascii="Calibri" w:hAnsi="Calibri"/>
          <w:sz w:val="24"/>
          <w:szCs w:val="24"/>
          <w:lang w:val="en-US"/>
        </w:rPr>
        <w:t>psies, fresh tissue samples will be</w:t>
      </w:r>
      <w:r w:rsidRPr="00D34418">
        <w:rPr>
          <w:rFonts w:ascii="Calibri" w:hAnsi="Calibri"/>
          <w:sz w:val="24"/>
          <w:szCs w:val="24"/>
          <w:lang w:val="en-US"/>
        </w:rPr>
        <w:t xml:space="preserve"> examined using immunoflorescence staining for C4d (Biomedica Grouppe, Vienna, Austria) and for C3 (Dako) depositions in peritubular capillaries paralelly. All b</w:t>
      </w:r>
      <w:r>
        <w:rPr>
          <w:rFonts w:ascii="Calibri" w:hAnsi="Calibri"/>
          <w:sz w:val="24"/>
          <w:szCs w:val="24"/>
          <w:lang w:val="en-US"/>
        </w:rPr>
        <w:t>iopsies will be</w:t>
      </w:r>
      <w:r w:rsidRPr="00D34418">
        <w:rPr>
          <w:rFonts w:ascii="Calibri" w:hAnsi="Calibri"/>
          <w:sz w:val="24"/>
          <w:szCs w:val="24"/>
          <w:lang w:val="en-US"/>
        </w:rPr>
        <w:t xml:space="preserve"> evaluated according to the Banff</w:t>
      </w:r>
      <w:r>
        <w:rPr>
          <w:rFonts w:ascii="Calibri" w:hAnsi="Calibri"/>
          <w:sz w:val="24"/>
          <w:szCs w:val="24"/>
          <w:lang w:val="en-US"/>
        </w:rPr>
        <w:t xml:space="preserve"> </w:t>
      </w:r>
      <w:r w:rsidRPr="00D34418">
        <w:rPr>
          <w:rFonts w:ascii="Calibri" w:hAnsi="Calibri"/>
          <w:sz w:val="24"/>
          <w:szCs w:val="24"/>
          <w:lang w:val="en-US"/>
        </w:rPr>
        <w:t>classification. Small portions of renal tissue from the cort</w:t>
      </w:r>
      <w:r>
        <w:rPr>
          <w:rFonts w:ascii="Calibri" w:hAnsi="Calibri"/>
          <w:sz w:val="24"/>
          <w:szCs w:val="24"/>
          <w:lang w:val="en-US"/>
        </w:rPr>
        <w:t>ical or juxtamedullary zone will be</w:t>
      </w:r>
      <w:r w:rsidRPr="00D34418">
        <w:rPr>
          <w:rFonts w:ascii="Calibri" w:hAnsi="Calibri"/>
          <w:sz w:val="24"/>
          <w:szCs w:val="24"/>
          <w:lang w:val="en-US"/>
        </w:rPr>
        <w:t xml:space="preserve"> immediately stored in preserve solution (RNA later, Qiagen, Hilden, Germany) for expression analysis. For RNA isolation and gene express</w:t>
      </w:r>
      <w:r>
        <w:rPr>
          <w:rFonts w:ascii="Calibri" w:hAnsi="Calibri"/>
          <w:sz w:val="24"/>
          <w:szCs w:val="24"/>
          <w:lang w:val="en-US"/>
        </w:rPr>
        <w:t>ion analysis the renal tissue is homogenized; total RNA i</w:t>
      </w:r>
      <w:r w:rsidRPr="00D34418">
        <w:rPr>
          <w:rFonts w:ascii="Calibri" w:hAnsi="Calibri"/>
          <w:sz w:val="24"/>
          <w:szCs w:val="24"/>
          <w:lang w:val="en-US"/>
        </w:rPr>
        <w:t xml:space="preserve">s extracted using </w:t>
      </w:r>
      <w:r w:rsidRPr="00D34418">
        <w:rPr>
          <w:rFonts w:ascii="Calibri" w:hAnsi="Calibri"/>
          <w:sz w:val="24"/>
          <w:szCs w:val="24"/>
        </w:rPr>
        <w:t>RNeasy Fibrous Tissue Mini Kit</w:t>
      </w:r>
      <w:r w:rsidRPr="00D34418">
        <w:rPr>
          <w:rFonts w:ascii="Calibri" w:hAnsi="Calibri"/>
          <w:sz w:val="24"/>
          <w:szCs w:val="24"/>
          <w:lang w:val="en-US"/>
        </w:rPr>
        <w:t xml:space="preserve"> (Qiagene) automated on the QIAcube device and reversely transcribed into complementary DNA (cDNA) using the SuperScript II Reverse Transcriptase (Invitrogen, Carlsbad, CA, USA). </w:t>
      </w:r>
      <w:r w:rsidRPr="00D34418">
        <w:rPr>
          <w:rFonts w:ascii="Calibri" w:hAnsi="Calibri"/>
          <w:sz w:val="24"/>
          <w:szCs w:val="24"/>
          <w:lang w:val="en-US"/>
        </w:rPr>
        <w:lastRenderedPageBreak/>
        <w:t>Complementary D</w:t>
      </w:r>
      <w:r>
        <w:rPr>
          <w:rFonts w:ascii="Calibri" w:hAnsi="Calibri"/>
          <w:sz w:val="24"/>
          <w:szCs w:val="24"/>
          <w:lang w:val="en-US"/>
        </w:rPr>
        <w:t>NA samples from each biopsy will be</w:t>
      </w:r>
      <w:r w:rsidRPr="00D34418">
        <w:rPr>
          <w:rFonts w:ascii="Calibri" w:hAnsi="Calibri"/>
          <w:sz w:val="24"/>
          <w:szCs w:val="24"/>
          <w:lang w:val="en-US"/>
        </w:rPr>
        <w:t xml:space="preserve"> analyzed on TaqMan® Low Density Array cards containing primers-and-probe sets for 95 targets in duplicates for each sample by 7900HT Fast Real Time PCR System (Applied Biosystems, Foster City, CA, USA). The set of targets (chemokines and receptors, interferons, transforming growth factor beta (TGFβ) pathway, genes of extracellular matrix and transcription factors) was chosen on the basis of potential relevance to the study according the existing literature data (for detail see </w:t>
      </w:r>
      <w:r>
        <w:rPr>
          <w:rFonts w:ascii="Calibri" w:hAnsi="Calibri"/>
          <w:sz w:val="24"/>
          <w:szCs w:val="24"/>
          <w:lang w:val="en-US"/>
        </w:rPr>
        <w:t>T</w:t>
      </w:r>
      <w:r w:rsidRPr="00D34418">
        <w:rPr>
          <w:rFonts w:ascii="Calibri" w:hAnsi="Calibri"/>
          <w:sz w:val="24"/>
          <w:szCs w:val="24"/>
          <w:lang w:val="en-US"/>
        </w:rPr>
        <w:t xml:space="preserve">able </w:t>
      </w:r>
      <w:r>
        <w:rPr>
          <w:rFonts w:ascii="Calibri" w:hAnsi="Calibri"/>
          <w:sz w:val="24"/>
          <w:szCs w:val="24"/>
          <w:lang w:val="en-US"/>
        </w:rPr>
        <w:t>2). Specific gene expression is</w:t>
      </w:r>
      <w:r w:rsidRPr="00D34418">
        <w:rPr>
          <w:rFonts w:ascii="Calibri" w:hAnsi="Calibri"/>
          <w:sz w:val="24"/>
          <w:szCs w:val="24"/>
          <w:lang w:val="en-US"/>
        </w:rPr>
        <w:t xml:space="preserve"> calculated relative to that of the house-keeping gene glyceraldehyde-3-phosphate dehydrogenase (GAPDH) and the calibrator sample </w:t>
      </w:r>
      <w:r w:rsidRPr="00D34418">
        <w:rPr>
          <w:rFonts w:ascii="Calibri" w:hAnsi="Calibri"/>
          <w:sz w:val="24"/>
          <w:szCs w:val="24"/>
        </w:rPr>
        <w:t>(FirstChoice®Human Kidney Total RNA, Ambion, Life Technologies, Carlsbad, CA, USA</w:t>
      </w:r>
      <w:bookmarkStart w:id="0" w:name="_GoBack"/>
      <w:bookmarkEnd w:id="0"/>
      <w:r w:rsidRPr="00D34418">
        <w:rPr>
          <w:rFonts w:ascii="Calibri" w:hAnsi="Calibri"/>
          <w:sz w:val="24"/>
          <w:szCs w:val="24"/>
        </w:rPr>
        <w:t xml:space="preserve">) by </w:t>
      </w:r>
      <w:r w:rsidRPr="00D34418">
        <w:rPr>
          <w:rFonts w:ascii="Calibri" w:hAnsi="Calibri"/>
          <w:sz w:val="24"/>
          <w:szCs w:val="24"/>
          <w:lang w:val="en-US"/>
        </w:rPr>
        <w:t>comparative threshold cycle method (2</w:t>
      </w:r>
      <w:r w:rsidRPr="00D34418">
        <w:rPr>
          <w:rFonts w:ascii="Calibri" w:hAnsi="Calibri"/>
          <w:sz w:val="24"/>
          <w:szCs w:val="24"/>
          <w:vertAlign w:val="superscript"/>
          <w:lang w:val="en-US"/>
        </w:rPr>
        <w:t>-</w:t>
      </w:r>
      <w:r w:rsidRPr="00D34418">
        <w:rPr>
          <w:rFonts w:ascii="Calibri" w:hAnsi="Calibri" w:cs="Calibri"/>
          <w:sz w:val="24"/>
          <w:szCs w:val="24"/>
          <w:vertAlign w:val="superscript"/>
          <w:lang w:val="en-US"/>
        </w:rPr>
        <w:t></w:t>
      </w:r>
      <w:r w:rsidRPr="00D34418">
        <w:rPr>
          <w:rFonts w:ascii="Calibri" w:hAnsi="Calibri" w:cs="Calibri"/>
          <w:sz w:val="24"/>
          <w:szCs w:val="24"/>
          <w:vertAlign w:val="superscript"/>
          <w:lang w:val="en-US"/>
        </w:rPr>
        <w:t></w:t>
      </w:r>
      <w:r w:rsidRPr="00D34418">
        <w:rPr>
          <w:rFonts w:ascii="Calibri" w:hAnsi="Calibri"/>
          <w:sz w:val="24"/>
          <w:szCs w:val="24"/>
          <w:vertAlign w:val="superscript"/>
          <w:lang w:val="en-US"/>
        </w:rPr>
        <w:t>C</w:t>
      </w:r>
      <w:r w:rsidRPr="00D34418">
        <w:rPr>
          <w:rFonts w:ascii="Calibri" w:hAnsi="Calibri"/>
          <w:sz w:val="24"/>
          <w:szCs w:val="24"/>
          <w:vertAlign w:val="subscript"/>
          <w:lang w:val="en-US"/>
        </w:rPr>
        <w:t>T</w:t>
      </w:r>
      <w:r w:rsidRPr="00D34418">
        <w:rPr>
          <w:rFonts w:ascii="Calibri" w:hAnsi="Calibri"/>
          <w:sz w:val="24"/>
          <w:szCs w:val="24"/>
          <w:lang w:val="en-US"/>
        </w:rPr>
        <w:t>) using RQ Manager 1.2 software (Applied Biosystems, Foster City, CA, USA) for automated data analysis and was expressed as relative quantity (RQ).</w:t>
      </w:r>
    </w:p>
    <w:p w:rsidR="00FC0CB8" w:rsidRDefault="00FC0CB8" w:rsidP="004534EC">
      <w:pPr>
        <w:spacing w:line="360" w:lineRule="auto"/>
        <w:jc w:val="both"/>
        <w:rPr>
          <w:rFonts w:ascii="Calibri" w:hAnsi="Calibri" w:cs="Calibri"/>
          <w:b/>
          <w:sz w:val="24"/>
          <w:szCs w:val="24"/>
        </w:rPr>
      </w:pPr>
      <w:r w:rsidRPr="00574134">
        <w:rPr>
          <w:rFonts w:ascii="Calibri" w:hAnsi="Calibri" w:cs="Calibri"/>
          <w:b/>
          <w:sz w:val="24"/>
          <w:szCs w:val="24"/>
        </w:rPr>
        <w:br w:type="page"/>
      </w:r>
      <w:r w:rsidRPr="004534EC">
        <w:rPr>
          <w:rFonts w:ascii="Calibri" w:hAnsi="Calibri" w:cs="Calibri"/>
          <w:b/>
          <w:sz w:val="24"/>
          <w:szCs w:val="24"/>
        </w:rPr>
        <w:lastRenderedPageBreak/>
        <w:t>Sample size and statistical analysis</w:t>
      </w:r>
    </w:p>
    <w:p w:rsidR="00FC0CB8" w:rsidRPr="004534EC" w:rsidRDefault="00FC0CB8" w:rsidP="004534EC">
      <w:pPr>
        <w:spacing w:line="360" w:lineRule="auto"/>
        <w:jc w:val="both"/>
        <w:rPr>
          <w:rFonts w:ascii="Calibri" w:hAnsi="Calibri" w:cs="Calibri"/>
          <w:b/>
          <w:sz w:val="24"/>
          <w:szCs w:val="24"/>
        </w:rPr>
      </w:pPr>
    </w:p>
    <w:p w:rsidR="00FC0CB8" w:rsidRPr="009F52AE" w:rsidRDefault="00FC0CB8" w:rsidP="004534EC">
      <w:pPr>
        <w:spacing w:line="360" w:lineRule="auto"/>
        <w:jc w:val="both"/>
        <w:rPr>
          <w:rFonts w:ascii="Calibri" w:hAnsi="Calibri" w:cs="Calibri"/>
          <w:b/>
          <w:sz w:val="24"/>
          <w:lang w:val="en-US"/>
        </w:rPr>
      </w:pPr>
      <w:r>
        <w:rPr>
          <w:rFonts w:ascii="Calibri" w:hAnsi="Calibri" w:cs="Calibri"/>
          <w:b/>
          <w:sz w:val="24"/>
          <w:lang w:val="en-US"/>
        </w:rPr>
        <w:t>For 12-month primary end point</w:t>
      </w:r>
    </w:p>
    <w:p w:rsidR="00FC0CB8" w:rsidRPr="004534EC" w:rsidRDefault="00FC0CB8" w:rsidP="004534EC">
      <w:pPr>
        <w:spacing w:line="360" w:lineRule="auto"/>
        <w:jc w:val="both"/>
        <w:rPr>
          <w:rFonts w:ascii="Calibri" w:hAnsi="Calibri" w:cs="Calibri"/>
          <w:sz w:val="24"/>
          <w:lang w:val="en-US"/>
        </w:rPr>
      </w:pPr>
      <w:r>
        <w:rPr>
          <w:rFonts w:ascii="Calibri" w:hAnsi="Calibri" w:cs="Calibri"/>
          <w:sz w:val="24"/>
          <w:lang w:val="en-US"/>
        </w:rPr>
        <w:t xml:space="preserve">The anticipated </w:t>
      </w:r>
      <w:r w:rsidRPr="004534EC">
        <w:rPr>
          <w:rFonts w:ascii="Calibri" w:hAnsi="Calibri" w:cs="Calibri"/>
          <w:sz w:val="24"/>
          <w:lang w:val="en-US"/>
        </w:rPr>
        <w:t>biopsy-proven acute re</w:t>
      </w:r>
      <w:r>
        <w:rPr>
          <w:rFonts w:ascii="Calibri" w:hAnsi="Calibri" w:cs="Calibri"/>
          <w:sz w:val="24"/>
          <w:lang w:val="en-US"/>
        </w:rPr>
        <w:t>jection (BPAR) rate</w:t>
      </w:r>
      <w:r w:rsidRPr="004534EC">
        <w:rPr>
          <w:rFonts w:ascii="Calibri" w:hAnsi="Calibri" w:cs="Calibri"/>
          <w:sz w:val="24"/>
          <w:lang w:val="en-US"/>
        </w:rPr>
        <w:t xml:space="preserve"> in the </w:t>
      </w:r>
      <w:r>
        <w:rPr>
          <w:rFonts w:ascii="Calibri" w:hAnsi="Calibri" w:cs="Calibri"/>
          <w:sz w:val="24"/>
          <w:lang w:val="en-US"/>
        </w:rPr>
        <w:t>valganciclovir</w:t>
      </w:r>
      <w:r w:rsidRPr="004534EC">
        <w:rPr>
          <w:rFonts w:ascii="Calibri" w:hAnsi="Calibri" w:cs="Calibri"/>
          <w:sz w:val="24"/>
          <w:lang w:val="en-US"/>
        </w:rPr>
        <w:t xml:space="preserve"> group </w:t>
      </w:r>
      <w:r>
        <w:rPr>
          <w:rFonts w:ascii="Calibri" w:hAnsi="Calibri" w:cs="Calibri"/>
          <w:sz w:val="24"/>
          <w:lang w:val="en-US"/>
        </w:rPr>
        <w:t xml:space="preserve">is 10% based on our previous study (2VAL Study, manuscript in preparation) comparing valganciclovir and valacyclovir prophylaxis considering a complete replace of cyclosporine by tacrolimus in initial </w:t>
      </w:r>
      <w:r w:rsidRPr="00F51A22">
        <w:rPr>
          <w:rFonts w:ascii="Calibri" w:hAnsi="Calibri" w:cs="Calibri"/>
          <w:sz w:val="24"/>
          <w:lang w:val="en-US"/>
        </w:rPr>
        <w:t>immunosuppression. Ninety patients</w:t>
      </w:r>
      <w:r w:rsidRPr="004534EC">
        <w:rPr>
          <w:rFonts w:ascii="Calibri" w:hAnsi="Calibri" w:cs="Calibri"/>
          <w:sz w:val="24"/>
          <w:lang w:val="en-US"/>
        </w:rPr>
        <w:t xml:space="preserve"> </w:t>
      </w:r>
      <w:r>
        <w:rPr>
          <w:rFonts w:ascii="Calibri" w:hAnsi="Calibri" w:cs="Calibri"/>
          <w:sz w:val="24"/>
          <w:lang w:val="en-US"/>
        </w:rPr>
        <w:t>are required to detect increase</w:t>
      </w:r>
      <w:r w:rsidRPr="004534EC">
        <w:rPr>
          <w:rFonts w:ascii="Calibri" w:hAnsi="Calibri" w:cs="Calibri"/>
          <w:sz w:val="24"/>
          <w:lang w:val="en-US"/>
        </w:rPr>
        <w:t xml:space="preserve"> in the incidence of </w:t>
      </w:r>
      <w:r>
        <w:rPr>
          <w:rFonts w:ascii="Calibri" w:hAnsi="Calibri" w:cs="Calibri"/>
          <w:sz w:val="24"/>
          <w:lang w:val="en-US"/>
        </w:rPr>
        <w:t>BPAR to 25</w:t>
      </w:r>
      <w:r w:rsidRPr="004534EC">
        <w:rPr>
          <w:rFonts w:ascii="Calibri" w:hAnsi="Calibri" w:cs="Calibri"/>
          <w:sz w:val="24"/>
          <w:lang w:val="en-US"/>
        </w:rPr>
        <w:t>% in pre</w:t>
      </w:r>
      <w:r>
        <w:rPr>
          <w:rFonts w:ascii="Calibri" w:hAnsi="Calibri" w:cs="Calibri"/>
          <w:sz w:val="24"/>
          <w:lang w:val="en-US"/>
        </w:rPr>
        <w:t>-</w:t>
      </w:r>
      <w:r w:rsidRPr="004534EC">
        <w:rPr>
          <w:rFonts w:ascii="Calibri" w:hAnsi="Calibri" w:cs="Calibri"/>
          <w:sz w:val="24"/>
          <w:lang w:val="en-US"/>
        </w:rPr>
        <w:t>empt</w:t>
      </w:r>
      <w:r>
        <w:rPr>
          <w:rFonts w:ascii="Calibri" w:hAnsi="Calibri" w:cs="Calibri"/>
          <w:sz w:val="24"/>
          <w:lang w:val="en-US"/>
        </w:rPr>
        <w:t xml:space="preserve">ive therapy group </w:t>
      </w:r>
      <w:r w:rsidRPr="004534EC">
        <w:rPr>
          <w:rFonts w:ascii="Calibri" w:hAnsi="Calibri" w:cs="Calibri"/>
          <w:sz w:val="24"/>
          <w:lang w:val="en-US"/>
        </w:rPr>
        <w:t xml:space="preserve">(power = 0.80; alpha = 0.05). </w:t>
      </w:r>
    </w:p>
    <w:p w:rsidR="00FC0CB8" w:rsidRDefault="00FC0CB8" w:rsidP="004534EC">
      <w:pPr>
        <w:spacing w:line="360" w:lineRule="auto"/>
        <w:jc w:val="both"/>
        <w:rPr>
          <w:rFonts w:ascii="Calibri" w:hAnsi="Calibri" w:cs="Calibri"/>
          <w:b/>
          <w:sz w:val="24"/>
          <w:lang w:val="en-US"/>
        </w:rPr>
      </w:pPr>
    </w:p>
    <w:p w:rsidR="00FC0CB8" w:rsidRPr="009F52AE" w:rsidRDefault="00FC0CB8" w:rsidP="004534EC">
      <w:pPr>
        <w:spacing w:line="360" w:lineRule="auto"/>
        <w:jc w:val="both"/>
        <w:rPr>
          <w:rFonts w:ascii="Calibri" w:hAnsi="Calibri" w:cs="Calibri"/>
          <w:b/>
          <w:sz w:val="24"/>
          <w:lang w:val="en-US"/>
        </w:rPr>
      </w:pPr>
      <w:r>
        <w:rPr>
          <w:rFonts w:ascii="Calibri" w:hAnsi="Calibri" w:cs="Calibri"/>
          <w:b/>
          <w:sz w:val="24"/>
          <w:lang w:val="en-US"/>
        </w:rPr>
        <w:t>For 36-month primary end point</w:t>
      </w:r>
    </w:p>
    <w:p w:rsidR="00FC0CB8" w:rsidRPr="004534EC" w:rsidRDefault="00FC0CB8" w:rsidP="004534EC">
      <w:pPr>
        <w:spacing w:line="360" w:lineRule="auto"/>
        <w:jc w:val="both"/>
        <w:rPr>
          <w:rFonts w:ascii="Calibri" w:hAnsi="Calibri" w:cs="Calibri"/>
          <w:sz w:val="24"/>
          <w:lang w:val="en-US"/>
        </w:rPr>
      </w:pPr>
      <w:r w:rsidRPr="004534EC">
        <w:rPr>
          <w:rFonts w:ascii="Calibri" w:hAnsi="Calibri" w:cs="Calibri"/>
          <w:sz w:val="24"/>
          <w:szCs w:val="24"/>
          <w:lang w:val="en-US"/>
        </w:rPr>
        <w:t>Due to high donor age and frequent use of expanded criteria donors the anticipated incidence of moderate-to-severe (</w:t>
      </w:r>
      <w:r>
        <w:rPr>
          <w:rFonts w:ascii="Calibri" w:hAnsi="Calibri" w:cs="Calibri"/>
          <w:sz w:val="24"/>
          <w:szCs w:val="24"/>
          <w:lang w:val="en-US"/>
        </w:rPr>
        <w:t>Banff grade II or III) IF/TA is 4</w:t>
      </w:r>
      <w:r w:rsidRPr="004534EC">
        <w:rPr>
          <w:rFonts w:ascii="Calibri" w:hAnsi="Calibri" w:cs="Calibri"/>
          <w:sz w:val="24"/>
          <w:szCs w:val="24"/>
          <w:lang w:val="en-US"/>
        </w:rPr>
        <w:t xml:space="preserve">0%. </w:t>
      </w:r>
      <w:r>
        <w:rPr>
          <w:rFonts w:ascii="Calibri" w:hAnsi="Calibri" w:cs="Calibri"/>
          <w:sz w:val="24"/>
          <w:szCs w:val="24"/>
          <w:lang w:val="en-US"/>
        </w:rPr>
        <w:t>This number correlates with the finding obtained with valacyclovir prophylaxis in our study (Reischig T, 2012). Based on the same study in which prophylaxis was associated with 2.5 fold increased risk of moderate-to-severe IF/TA compared to pre-emptive therapy we presume a 60</w:t>
      </w:r>
      <w:r w:rsidRPr="004534EC">
        <w:rPr>
          <w:rFonts w:ascii="Calibri" w:hAnsi="Calibri" w:cs="Calibri"/>
          <w:sz w:val="24"/>
          <w:szCs w:val="24"/>
          <w:lang w:val="en-US"/>
        </w:rPr>
        <w:t>% decreased relative risk of IF/</w:t>
      </w:r>
      <w:r>
        <w:rPr>
          <w:rFonts w:ascii="Calibri" w:hAnsi="Calibri" w:cs="Calibri"/>
          <w:sz w:val="24"/>
          <w:szCs w:val="24"/>
          <w:lang w:val="en-US"/>
        </w:rPr>
        <w:t>TA in patients with pre-emptive therapy</w:t>
      </w:r>
      <w:r w:rsidRPr="004534EC">
        <w:rPr>
          <w:rFonts w:ascii="Calibri" w:hAnsi="Calibri" w:cs="Calibri"/>
          <w:sz w:val="24"/>
          <w:szCs w:val="24"/>
          <w:lang w:val="en-US"/>
        </w:rPr>
        <w:t xml:space="preserve">. In </w:t>
      </w:r>
      <w:r>
        <w:rPr>
          <w:rFonts w:ascii="Calibri" w:hAnsi="Calibri" w:cs="Calibri"/>
          <w:sz w:val="24"/>
          <w:szCs w:val="24"/>
          <w:lang w:val="en-US"/>
        </w:rPr>
        <w:t>such a scenario</w:t>
      </w:r>
      <w:r w:rsidRPr="004534EC">
        <w:rPr>
          <w:rFonts w:ascii="Calibri" w:hAnsi="Calibri" w:cs="Calibri"/>
          <w:sz w:val="24"/>
          <w:szCs w:val="24"/>
          <w:lang w:val="en-US"/>
        </w:rPr>
        <w:t xml:space="preserve"> a minimum of </w:t>
      </w:r>
      <w:r w:rsidRPr="00E82A0A">
        <w:rPr>
          <w:rFonts w:ascii="Calibri" w:hAnsi="Calibri" w:cs="Calibri"/>
          <w:sz w:val="24"/>
          <w:szCs w:val="24"/>
          <w:lang w:val="en-US"/>
        </w:rPr>
        <w:t>62 patients</w:t>
      </w:r>
      <w:r w:rsidRPr="004534EC">
        <w:rPr>
          <w:rFonts w:ascii="Calibri" w:hAnsi="Calibri" w:cs="Calibri"/>
          <w:sz w:val="24"/>
          <w:szCs w:val="24"/>
          <w:lang w:val="en-US"/>
        </w:rPr>
        <w:t xml:space="preserve"> with late protocol biopsy is required to ensure 80% power for detection of a treatment di</w:t>
      </w:r>
      <w:r>
        <w:rPr>
          <w:rFonts w:ascii="Calibri" w:hAnsi="Calibri" w:cs="Calibri"/>
          <w:sz w:val="24"/>
          <w:szCs w:val="24"/>
          <w:lang w:val="en-US"/>
        </w:rPr>
        <w:t>fference with type 1 error of 0.</w:t>
      </w:r>
      <w:r w:rsidRPr="004534EC">
        <w:rPr>
          <w:rFonts w:ascii="Calibri" w:hAnsi="Calibri" w:cs="Calibri"/>
          <w:sz w:val="24"/>
          <w:szCs w:val="24"/>
          <w:lang w:val="en-US"/>
        </w:rPr>
        <w:t>05.</w:t>
      </w:r>
    </w:p>
    <w:p w:rsidR="00FC0CB8" w:rsidRDefault="00FC0CB8" w:rsidP="0016427D">
      <w:pPr>
        <w:spacing w:line="360" w:lineRule="auto"/>
        <w:jc w:val="both"/>
        <w:rPr>
          <w:rFonts w:ascii="Calibri" w:hAnsi="Calibri" w:cs="Calibri"/>
          <w:sz w:val="24"/>
          <w:lang w:val="en-US"/>
        </w:rPr>
      </w:pPr>
      <w:r w:rsidRPr="004534EC">
        <w:rPr>
          <w:rFonts w:ascii="Calibri" w:hAnsi="Calibri" w:cs="Calibri"/>
          <w:sz w:val="24"/>
          <w:lang w:val="en-US"/>
        </w:rPr>
        <w:t>To meet both short-term and l</w:t>
      </w:r>
      <w:r>
        <w:rPr>
          <w:rFonts w:ascii="Calibri" w:hAnsi="Calibri" w:cs="Calibri"/>
          <w:sz w:val="24"/>
          <w:lang w:val="en-US"/>
        </w:rPr>
        <w:t>ong-term end points a total of 92</w:t>
      </w:r>
      <w:r w:rsidRPr="004534EC">
        <w:rPr>
          <w:rFonts w:ascii="Calibri" w:hAnsi="Calibri" w:cs="Calibri"/>
          <w:sz w:val="24"/>
          <w:lang w:val="en-US"/>
        </w:rPr>
        <w:t xml:space="preserve"> subjects should be enrolled given the anticipated number of patients to be lost to follow-up.</w:t>
      </w:r>
    </w:p>
    <w:p w:rsidR="00FC0CB8" w:rsidRDefault="00FC0CB8" w:rsidP="0016427D">
      <w:pPr>
        <w:spacing w:line="360" w:lineRule="auto"/>
        <w:jc w:val="both"/>
        <w:rPr>
          <w:rFonts w:ascii="Calibri" w:hAnsi="Calibri" w:cs="Calibri"/>
          <w:sz w:val="24"/>
          <w:lang w:val="en-US"/>
        </w:rPr>
      </w:pPr>
    </w:p>
    <w:p w:rsidR="00FC0CB8" w:rsidRPr="0016427D" w:rsidRDefault="00FC0CB8" w:rsidP="0016427D">
      <w:pPr>
        <w:spacing w:line="360" w:lineRule="auto"/>
        <w:ind w:left="708"/>
        <w:jc w:val="both"/>
        <w:rPr>
          <w:rFonts w:ascii="Calibri" w:hAnsi="Calibri"/>
          <w:i/>
          <w:lang w:val="en-US"/>
        </w:rPr>
      </w:pPr>
      <w:r w:rsidRPr="0016427D">
        <w:rPr>
          <w:rFonts w:ascii="Calibri" w:hAnsi="Calibri"/>
          <w:b/>
          <w:i/>
          <w:lang w:val="en-US"/>
        </w:rPr>
        <w:t>Reischig T, Hribova P, Jindra P, et al.</w:t>
      </w:r>
      <w:r w:rsidRPr="0016427D">
        <w:rPr>
          <w:rFonts w:ascii="Calibri" w:hAnsi="Calibri"/>
          <w:i/>
          <w:lang w:val="en-US"/>
        </w:rPr>
        <w:t xml:space="preserve"> Long-term outcomes of pre-emptive valganciclovir compared with valacyclovir prophylaxis for prevention of cytomegalovirus in renal transplantation. J Am Soc Nephrol 2012</w:t>
      </w:r>
      <w:r w:rsidRPr="0016427D">
        <w:rPr>
          <w:rFonts w:ascii="Calibri" w:hAnsi="Calibri"/>
          <w:i/>
        </w:rPr>
        <w:t>;</w:t>
      </w:r>
      <w:r w:rsidRPr="0016427D">
        <w:rPr>
          <w:rFonts w:ascii="Calibri" w:hAnsi="Calibri"/>
          <w:i/>
          <w:lang w:val="en-US"/>
        </w:rPr>
        <w:t xml:space="preserve"> 23: 1588-1597</w:t>
      </w:r>
    </w:p>
    <w:p w:rsidR="00FC0CB8" w:rsidRPr="004534EC" w:rsidRDefault="00FC0CB8" w:rsidP="0016427D">
      <w:pPr>
        <w:spacing w:line="360" w:lineRule="auto"/>
        <w:jc w:val="both"/>
        <w:rPr>
          <w:rFonts w:ascii="Calibri" w:hAnsi="Calibri" w:cs="Calibri"/>
          <w:sz w:val="24"/>
          <w:highlight w:val="cyan"/>
          <w:lang w:val="en-US"/>
        </w:rPr>
      </w:pPr>
    </w:p>
    <w:p w:rsidR="00FC0CB8" w:rsidRPr="004534EC" w:rsidRDefault="00FC0CB8" w:rsidP="0016427D">
      <w:pPr>
        <w:spacing w:line="360" w:lineRule="auto"/>
        <w:jc w:val="both"/>
        <w:rPr>
          <w:rFonts w:ascii="Calibri" w:hAnsi="Calibri" w:cs="Calibri"/>
          <w:sz w:val="24"/>
          <w:szCs w:val="24"/>
          <w:lang w:val="en-US"/>
        </w:rPr>
      </w:pPr>
      <w:r w:rsidRPr="004534EC">
        <w:rPr>
          <w:rFonts w:ascii="Calibri" w:hAnsi="Calibri" w:cs="Calibri"/>
          <w:sz w:val="24"/>
          <w:szCs w:val="24"/>
          <w:lang w:val="en-US"/>
        </w:rPr>
        <w:t xml:space="preserve">Quantitative parametric data will be compared between the groups using Student’s t-test and the Mann-Whitney U-test in non-parametric distribution. Qualitative data will be analyzed using Fisher’s exact test. Patient and graft survival, incidence of CMV disease and viremia, and incidence of acute rejection will be calculated using Kaplan-Meier curves, with the log-rank test used for comparison. Cox proportional hazard model adjusting for acute rejection, delayed graft function, and expanded criteria donor will be used to calculate the hazard ratio (HR) and 95% confidence interval (CI) for graft loss in the pre-emptive group as </w:t>
      </w:r>
      <w:r w:rsidRPr="004534EC">
        <w:rPr>
          <w:rFonts w:ascii="Calibri" w:hAnsi="Calibri" w:cs="Calibri"/>
          <w:sz w:val="24"/>
          <w:szCs w:val="24"/>
          <w:lang w:val="en-US"/>
        </w:rPr>
        <w:lastRenderedPageBreak/>
        <w:t>compared with prophylaxis. Data will be analyzed according to the intention-to-treat principl</w:t>
      </w:r>
      <w:r>
        <w:rPr>
          <w:rFonts w:ascii="Calibri" w:hAnsi="Calibri" w:cs="Calibri"/>
          <w:sz w:val="24"/>
          <w:szCs w:val="24"/>
          <w:lang w:val="en-US"/>
        </w:rPr>
        <w:t>e. Statistical calculations are</w:t>
      </w:r>
      <w:r w:rsidRPr="004534EC">
        <w:rPr>
          <w:rFonts w:ascii="Calibri" w:hAnsi="Calibri" w:cs="Calibri"/>
          <w:sz w:val="24"/>
          <w:szCs w:val="24"/>
          <w:lang w:val="en-US"/>
        </w:rPr>
        <w:t xml:space="preserve"> made using SPSS </w:t>
      </w:r>
      <w:r w:rsidRPr="004534EC">
        <w:rPr>
          <w:rFonts w:ascii="Calibri" w:hAnsi="Calibri" w:cs="Calibri"/>
          <w:sz w:val="24"/>
          <w:szCs w:val="24"/>
        </w:rPr>
        <w:t>and Statistica 9.0 software</w:t>
      </w:r>
      <w:r w:rsidRPr="004534EC">
        <w:rPr>
          <w:rFonts w:ascii="Calibri" w:hAnsi="Calibri" w:cs="Calibri"/>
          <w:sz w:val="24"/>
          <w:szCs w:val="24"/>
          <w:lang w:val="en-US"/>
        </w:rPr>
        <w:t>. Values o</w:t>
      </w:r>
      <w:r>
        <w:rPr>
          <w:rFonts w:ascii="Calibri" w:hAnsi="Calibri" w:cs="Calibri"/>
          <w:sz w:val="24"/>
          <w:szCs w:val="24"/>
          <w:lang w:val="en-US"/>
        </w:rPr>
        <w:t>f p&lt;0.</w:t>
      </w:r>
      <w:r w:rsidRPr="004534EC">
        <w:rPr>
          <w:rFonts w:ascii="Calibri" w:hAnsi="Calibri" w:cs="Calibri"/>
          <w:sz w:val="24"/>
          <w:szCs w:val="24"/>
          <w:lang w:val="en-US"/>
        </w:rPr>
        <w:t>05 are considered statistically significant.</w:t>
      </w:r>
    </w:p>
    <w:p w:rsidR="00FC0CB8" w:rsidRPr="00B30BB8" w:rsidRDefault="00FC0CB8" w:rsidP="00C325FB">
      <w:pPr>
        <w:spacing w:line="360" w:lineRule="auto"/>
        <w:jc w:val="both"/>
        <w:rPr>
          <w:rFonts w:ascii="Calibri" w:hAnsi="Calibri" w:cs="Calibri"/>
          <w:sz w:val="24"/>
          <w:szCs w:val="24"/>
          <w:lang w:val="en-US"/>
        </w:rPr>
      </w:pPr>
    </w:p>
    <w:p w:rsidR="00FC0CB8" w:rsidRPr="007B07FD" w:rsidRDefault="00FC0CB8" w:rsidP="007B07FD">
      <w:pPr>
        <w:jc w:val="both"/>
        <w:rPr>
          <w:rFonts w:ascii="Calibri" w:hAnsi="Calibri" w:cs="Calibri"/>
          <w:b/>
          <w:sz w:val="18"/>
          <w:szCs w:val="18"/>
          <w:lang w:val="en-US"/>
        </w:rPr>
      </w:pPr>
      <w:r w:rsidRPr="00B30BB8">
        <w:rPr>
          <w:rFonts w:ascii="Calibri" w:hAnsi="Calibri" w:cs="Calibri"/>
          <w:sz w:val="24"/>
          <w:szCs w:val="24"/>
          <w:lang w:val="en-US"/>
        </w:rPr>
        <w:br w:type="page"/>
      </w:r>
      <w:r w:rsidRPr="007B07FD">
        <w:rPr>
          <w:rFonts w:ascii="Calibri" w:hAnsi="Calibri" w:cs="Calibri"/>
          <w:b/>
          <w:sz w:val="18"/>
          <w:szCs w:val="18"/>
          <w:lang w:val="en-US"/>
        </w:rPr>
        <w:lastRenderedPageBreak/>
        <w:t>Table 1A Shedule of visits and lab assessme</w:t>
      </w:r>
      <w:r>
        <w:rPr>
          <w:rFonts w:ascii="Calibri" w:hAnsi="Calibri" w:cs="Calibri"/>
          <w:b/>
          <w:sz w:val="18"/>
          <w:szCs w:val="18"/>
          <w:lang w:val="en-US"/>
        </w:rPr>
        <w:t>nts – PROPHYLAXIS – valganciclovir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332"/>
        <w:gridCol w:w="581"/>
        <w:gridCol w:w="218"/>
        <w:gridCol w:w="219"/>
        <w:gridCol w:w="218"/>
        <w:gridCol w:w="219"/>
        <w:gridCol w:w="219"/>
        <w:gridCol w:w="218"/>
        <w:gridCol w:w="219"/>
        <w:gridCol w:w="219"/>
        <w:gridCol w:w="218"/>
        <w:gridCol w:w="219"/>
        <w:gridCol w:w="219"/>
        <w:gridCol w:w="218"/>
        <w:gridCol w:w="219"/>
        <w:gridCol w:w="218"/>
        <w:gridCol w:w="219"/>
        <w:gridCol w:w="219"/>
        <w:gridCol w:w="218"/>
        <w:gridCol w:w="219"/>
        <w:gridCol w:w="219"/>
        <w:gridCol w:w="218"/>
        <w:gridCol w:w="219"/>
        <w:gridCol w:w="219"/>
        <w:gridCol w:w="218"/>
        <w:gridCol w:w="219"/>
        <w:gridCol w:w="218"/>
        <w:gridCol w:w="219"/>
        <w:gridCol w:w="219"/>
        <w:gridCol w:w="218"/>
        <w:gridCol w:w="219"/>
        <w:gridCol w:w="219"/>
        <w:gridCol w:w="218"/>
        <w:gridCol w:w="219"/>
        <w:gridCol w:w="219"/>
      </w:tblGrid>
      <w:tr w:rsidR="00FC0CB8" w:rsidRPr="007B07FD" w:rsidTr="00915236">
        <w:tc>
          <w:tcPr>
            <w:tcW w:w="1332" w:type="dxa"/>
          </w:tcPr>
          <w:p w:rsidR="00FC0CB8" w:rsidRPr="00DC54B1" w:rsidRDefault="00FC0CB8">
            <w:pPr>
              <w:spacing w:line="360" w:lineRule="auto"/>
              <w:jc w:val="center"/>
              <w:rPr>
                <w:rFonts w:ascii="Calibri" w:hAnsi="Calibri" w:cs="Calibri"/>
                <w:sz w:val="12"/>
                <w:szCs w:val="12"/>
                <w:lang w:val="en-US"/>
              </w:rPr>
            </w:pPr>
            <w:r w:rsidRPr="00DC54B1">
              <w:rPr>
                <w:rFonts w:ascii="Calibri" w:hAnsi="Calibri" w:cs="Calibri"/>
                <w:sz w:val="12"/>
                <w:szCs w:val="12"/>
                <w:lang w:val="en-US"/>
              </w:rPr>
              <w:t>week/</w:t>
            </w:r>
            <w:r w:rsidRPr="00DC54B1">
              <w:rPr>
                <w:rFonts w:ascii="Calibri" w:hAnsi="Calibri" w:cs="Calibri"/>
                <w:b/>
                <w:sz w:val="12"/>
                <w:szCs w:val="12"/>
                <w:lang w:val="en-US"/>
              </w:rPr>
              <w:t xml:space="preserve">months </w:t>
            </w:r>
            <w:r w:rsidRPr="00DC54B1">
              <w:rPr>
                <w:rFonts w:ascii="Calibri" w:hAnsi="Calibri" w:cs="Calibri"/>
                <w:sz w:val="12"/>
                <w:szCs w:val="12"/>
                <w:lang w:val="en-US"/>
              </w:rPr>
              <w:t>post-Tx</w:t>
            </w:r>
          </w:p>
        </w:tc>
        <w:tc>
          <w:tcPr>
            <w:tcW w:w="581" w:type="dxa"/>
          </w:tcPr>
          <w:p w:rsidR="00FC0CB8" w:rsidRPr="00DC54B1" w:rsidRDefault="00FC0CB8" w:rsidP="00DC54B1">
            <w:pPr>
              <w:spacing w:line="360" w:lineRule="auto"/>
              <w:jc w:val="center"/>
              <w:rPr>
                <w:rFonts w:ascii="Calibri" w:hAnsi="Calibri" w:cs="Calibri"/>
                <w:sz w:val="10"/>
                <w:szCs w:val="10"/>
                <w:lang w:val="en-US"/>
              </w:rPr>
            </w:pPr>
            <w:r w:rsidRPr="00DC54B1">
              <w:rPr>
                <w:rFonts w:ascii="Calibri" w:hAnsi="Calibri" w:cs="Calibri"/>
                <w:sz w:val="10"/>
                <w:szCs w:val="10"/>
                <w:lang w:val="en-US"/>
              </w:rPr>
              <w:t>preTx</w:t>
            </w:r>
          </w:p>
        </w:tc>
        <w:tc>
          <w:tcPr>
            <w:tcW w:w="218"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2</w:t>
            </w:r>
          </w:p>
        </w:tc>
        <w:tc>
          <w:tcPr>
            <w:tcW w:w="218"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3</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4</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5</w:t>
            </w:r>
          </w:p>
        </w:tc>
        <w:tc>
          <w:tcPr>
            <w:tcW w:w="218"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6</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7</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8</w:t>
            </w:r>
          </w:p>
        </w:tc>
        <w:tc>
          <w:tcPr>
            <w:tcW w:w="218"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9</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10</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11</w:t>
            </w:r>
          </w:p>
        </w:tc>
        <w:tc>
          <w:tcPr>
            <w:tcW w:w="218"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12</w:t>
            </w:r>
          </w:p>
        </w:tc>
        <w:tc>
          <w:tcPr>
            <w:tcW w:w="219" w:type="dxa"/>
          </w:tcPr>
          <w:p w:rsidR="00FC0CB8" w:rsidRPr="00915236" w:rsidRDefault="00FC0CB8">
            <w:pPr>
              <w:spacing w:line="360" w:lineRule="auto"/>
              <w:jc w:val="center"/>
              <w:rPr>
                <w:rFonts w:ascii="Calibri" w:hAnsi="Calibri" w:cs="Calibri"/>
                <w:smallCaps/>
                <w:sz w:val="10"/>
                <w:szCs w:val="10"/>
                <w:lang w:val="en-US"/>
              </w:rPr>
            </w:pPr>
            <w:r>
              <w:rPr>
                <w:rFonts w:ascii="Calibri" w:hAnsi="Calibri" w:cs="Calibri"/>
                <w:smallCaps/>
                <w:sz w:val="10"/>
                <w:szCs w:val="10"/>
                <w:lang w:val="en-US"/>
              </w:rPr>
              <w:t>13</w:t>
            </w:r>
          </w:p>
        </w:tc>
        <w:tc>
          <w:tcPr>
            <w:tcW w:w="218"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14</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15</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16</w:t>
            </w:r>
          </w:p>
        </w:tc>
        <w:tc>
          <w:tcPr>
            <w:tcW w:w="218"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20</w:t>
            </w:r>
          </w:p>
        </w:tc>
        <w:tc>
          <w:tcPr>
            <w:tcW w:w="219" w:type="dxa"/>
          </w:tcPr>
          <w:p w:rsidR="00FC0CB8" w:rsidRPr="00915236" w:rsidRDefault="00FC0CB8">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24</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7</w:t>
            </w:r>
          </w:p>
        </w:tc>
        <w:tc>
          <w:tcPr>
            <w:tcW w:w="218"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8</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9</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10</w:t>
            </w:r>
          </w:p>
        </w:tc>
        <w:tc>
          <w:tcPr>
            <w:tcW w:w="218"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11</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12</w:t>
            </w:r>
          </w:p>
        </w:tc>
        <w:tc>
          <w:tcPr>
            <w:tcW w:w="218"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15</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18</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21</w:t>
            </w:r>
          </w:p>
        </w:tc>
        <w:tc>
          <w:tcPr>
            <w:tcW w:w="218"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24</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27</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30</w:t>
            </w:r>
          </w:p>
        </w:tc>
        <w:tc>
          <w:tcPr>
            <w:tcW w:w="218"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33</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36</w:t>
            </w:r>
          </w:p>
        </w:tc>
        <w:tc>
          <w:tcPr>
            <w:tcW w:w="219" w:type="dxa"/>
          </w:tcPr>
          <w:p w:rsidR="00FC0CB8" w:rsidRPr="00915236" w:rsidRDefault="00FC0CB8">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48</w:t>
            </w:r>
          </w:p>
        </w:tc>
      </w:tr>
      <w:tr w:rsidR="00FC0CB8" w:rsidRPr="007B07FD" w:rsidTr="00915236">
        <w:tc>
          <w:tcPr>
            <w:tcW w:w="1332" w:type="dxa"/>
          </w:tcPr>
          <w:p w:rsidR="00FC0CB8" w:rsidRPr="00DC54B1" w:rsidRDefault="00FC0CB8" w:rsidP="00C44F43">
            <w:pPr>
              <w:spacing w:line="360" w:lineRule="auto"/>
              <w:jc w:val="center"/>
              <w:rPr>
                <w:rFonts w:ascii="Calibri" w:hAnsi="Calibri" w:cs="Calibri"/>
                <w:sz w:val="12"/>
                <w:szCs w:val="12"/>
              </w:rPr>
            </w:pPr>
            <w:r w:rsidRPr="00DC54B1">
              <w:rPr>
                <w:rFonts w:ascii="Calibri" w:hAnsi="Calibri" w:cs="Calibri"/>
                <w:sz w:val="12"/>
                <w:szCs w:val="12"/>
              </w:rPr>
              <w:t>Clinical, CMV disease, adverse events, BP</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44F43">
            <w:pPr>
              <w:spacing w:line="360" w:lineRule="auto"/>
              <w:jc w:val="center"/>
              <w:rPr>
                <w:rFonts w:ascii="Calibri" w:hAnsi="Calibri" w:cs="Calibri"/>
                <w:sz w:val="12"/>
                <w:szCs w:val="12"/>
                <w:lang w:val="en-US"/>
              </w:rPr>
            </w:pPr>
            <w:r w:rsidRPr="00DC54B1">
              <w:rPr>
                <w:rFonts w:ascii="Calibri" w:hAnsi="Calibri" w:cs="Calibri"/>
                <w:sz w:val="12"/>
                <w:szCs w:val="12"/>
                <w:lang w:val="en-US"/>
              </w:rPr>
              <w:t>PCR CMV</w:t>
            </w:r>
          </w:p>
        </w:tc>
        <w:tc>
          <w:tcPr>
            <w:tcW w:w="581" w:type="dxa"/>
          </w:tcPr>
          <w:p w:rsidR="00FC0CB8" w:rsidRPr="00C40957" w:rsidRDefault="00FC0CB8">
            <w:pPr>
              <w:jc w:val="center"/>
              <w:rPr>
                <w:rFonts w:ascii="Calibri" w:hAnsi="Calibri" w:cs="Calibri"/>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rPr>
                <w:rFonts w:ascii="Calibri" w:hAnsi="Calibri"/>
                <w:sz w:val="14"/>
                <w:szCs w:val="14"/>
              </w:rPr>
            </w:pPr>
            <w:r w:rsidRPr="00C40957">
              <w:rPr>
                <w:rFonts w:ascii="Calibri" w:hAnsi="Calibri" w:cs="Calibri"/>
                <w:smallCaps/>
                <w:sz w:val="14"/>
                <w:szCs w:val="14"/>
                <w:lang w:val="en-US"/>
              </w:rPr>
              <w:t>-</w:t>
            </w:r>
          </w:p>
        </w:tc>
        <w:tc>
          <w:tcPr>
            <w:tcW w:w="219" w:type="dxa"/>
          </w:tcPr>
          <w:p w:rsidR="00FC0CB8" w:rsidRPr="00C40957" w:rsidRDefault="00FC0CB8" w:rsidP="00915236">
            <w:pP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44F43">
            <w:pPr>
              <w:spacing w:line="360" w:lineRule="auto"/>
              <w:jc w:val="center"/>
              <w:rPr>
                <w:rFonts w:ascii="Calibri" w:hAnsi="Calibri" w:cs="Calibri"/>
                <w:sz w:val="12"/>
                <w:szCs w:val="12"/>
                <w:lang w:val="en-US"/>
              </w:rPr>
            </w:pPr>
            <w:r w:rsidRPr="00DC54B1">
              <w:rPr>
                <w:rFonts w:ascii="Calibri" w:hAnsi="Calibri" w:cs="Calibri"/>
                <w:sz w:val="12"/>
                <w:szCs w:val="12"/>
                <w:lang w:val="en-US"/>
              </w:rPr>
              <w:t>s-Cr</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44F43">
            <w:pPr>
              <w:spacing w:line="360" w:lineRule="auto"/>
              <w:jc w:val="center"/>
              <w:rPr>
                <w:rFonts w:ascii="Calibri" w:hAnsi="Calibri" w:cs="Calibri"/>
                <w:sz w:val="12"/>
                <w:szCs w:val="12"/>
                <w:lang w:val="en-US"/>
              </w:rPr>
            </w:pPr>
            <w:r w:rsidRPr="00DC54B1">
              <w:rPr>
                <w:rFonts w:ascii="Calibri" w:hAnsi="Calibri" w:cs="Calibri"/>
                <w:sz w:val="12"/>
                <w:szCs w:val="12"/>
                <w:lang w:val="en-US"/>
              </w:rPr>
              <w:t>high/weight</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44F43">
            <w:pPr>
              <w:spacing w:line="360" w:lineRule="auto"/>
              <w:jc w:val="center"/>
              <w:rPr>
                <w:rFonts w:ascii="Calibri" w:hAnsi="Calibri" w:cs="Calibri"/>
                <w:sz w:val="12"/>
                <w:szCs w:val="12"/>
                <w:vertAlign w:val="subscript"/>
                <w:lang w:val="en-US"/>
              </w:rPr>
            </w:pPr>
            <w:r w:rsidRPr="00DC54B1">
              <w:rPr>
                <w:rFonts w:ascii="Calibri" w:hAnsi="Calibri" w:cs="Calibri"/>
                <w:sz w:val="12"/>
                <w:szCs w:val="12"/>
                <w:lang w:val="en-US"/>
              </w:rPr>
              <w:t>eGFR (MDRD)</w:t>
            </w:r>
          </w:p>
        </w:tc>
        <w:tc>
          <w:tcPr>
            <w:tcW w:w="581" w:type="dxa"/>
          </w:tcPr>
          <w:p w:rsidR="00FC0CB8" w:rsidRPr="00C40957" w:rsidRDefault="00FC0CB8" w:rsidP="00480A4E">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915236">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44F43">
            <w:pPr>
              <w:spacing w:line="360" w:lineRule="auto"/>
              <w:jc w:val="center"/>
              <w:rPr>
                <w:rFonts w:ascii="Calibri" w:hAnsi="Calibri" w:cs="Calibri"/>
                <w:sz w:val="12"/>
                <w:szCs w:val="12"/>
                <w:vertAlign w:val="subscript"/>
                <w:lang w:val="en-US"/>
              </w:rPr>
            </w:pPr>
            <w:r w:rsidRPr="00DC54B1">
              <w:rPr>
                <w:rFonts w:ascii="Calibri" w:hAnsi="Calibri" w:cs="Calibri"/>
                <w:sz w:val="12"/>
                <w:szCs w:val="12"/>
                <w:lang w:val="en-US"/>
              </w:rPr>
              <w:t>Urine protein loss per day</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44F43">
            <w:pPr>
              <w:spacing w:line="360" w:lineRule="auto"/>
              <w:jc w:val="center"/>
              <w:rPr>
                <w:rFonts w:ascii="Calibri" w:hAnsi="Calibri" w:cs="Calibri"/>
                <w:sz w:val="12"/>
                <w:szCs w:val="12"/>
                <w:lang w:val="en-US"/>
              </w:rPr>
            </w:pPr>
            <w:r>
              <w:rPr>
                <w:rFonts w:ascii="Calibri" w:hAnsi="Calibri" w:cs="Calibri"/>
                <w:sz w:val="12"/>
                <w:szCs w:val="12"/>
                <w:lang w:val="en-US"/>
              </w:rPr>
              <w:t>U-Prot</w:t>
            </w:r>
            <w:r w:rsidRPr="00DC54B1">
              <w:rPr>
                <w:rFonts w:ascii="Calibri" w:hAnsi="Calibri" w:cs="Calibri"/>
                <w:sz w:val="12"/>
                <w:szCs w:val="12"/>
                <w:lang w:val="en-US"/>
              </w:rPr>
              <w:t>/Cr ratio</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44F43">
            <w:pPr>
              <w:spacing w:line="360" w:lineRule="auto"/>
              <w:jc w:val="center"/>
              <w:rPr>
                <w:rFonts w:ascii="Calibri" w:hAnsi="Calibri" w:cs="Calibri"/>
                <w:sz w:val="12"/>
                <w:szCs w:val="12"/>
                <w:lang w:val="en-US"/>
              </w:rPr>
            </w:pPr>
            <w:r w:rsidRPr="00DC54B1">
              <w:rPr>
                <w:rFonts w:ascii="Calibri" w:hAnsi="Calibri" w:cs="Calibri"/>
                <w:sz w:val="12"/>
                <w:szCs w:val="12"/>
                <w:lang w:val="en-US"/>
              </w:rPr>
              <w:t>s-urea</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s-ALT</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s-AST</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s-GMT</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s-bili</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s-ALP</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s-Alb</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s-CRP</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K</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Mg</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Ca</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P</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Uric  acid</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Chol-total</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Default="00FC0CB8">
            <w:r w:rsidRPr="00E828F7">
              <w:rPr>
                <w:rFonts w:ascii="Calibri" w:hAnsi="Calibri" w:cs="Calibri"/>
                <w:smallCaps/>
                <w:sz w:val="14"/>
                <w:szCs w:val="14"/>
                <w:lang w:val="en-US"/>
              </w:rPr>
              <w:t>+</w:t>
            </w:r>
          </w:p>
        </w:tc>
        <w:tc>
          <w:tcPr>
            <w:tcW w:w="219" w:type="dxa"/>
          </w:tcPr>
          <w:p w:rsidR="00FC0CB8" w:rsidRDefault="00FC0CB8">
            <w:r w:rsidRPr="00E828F7">
              <w:rPr>
                <w:rFonts w:ascii="Calibri" w:hAnsi="Calibri" w:cs="Calibri"/>
                <w:smallCaps/>
                <w:sz w:val="14"/>
                <w:szCs w:val="14"/>
                <w:lang w:val="en-US"/>
              </w:rPr>
              <w:t>+</w:t>
            </w:r>
          </w:p>
        </w:tc>
        <w:tc>
          <w:tcPr>
            <w:tcW w:w="219" w:type="dxa"/>
          </w:tcPr>
          <w:p w:rsidR="00FC0CB8" w:rsidRDefault="00FC0CB8">
            <w:r w:rsidRPr="00E828F7">
              <w:rPr>
                <w:rFonts w:ascii="Calibri" w:hAnsi="Calibri" w:cs="Calibri"/>
                <w:smallCaps/>
                <w:sz w:val="14"/>
                <w:szCs w:val="14"/>
                <w:lang w:val="en-US"/>
              </w:rPr>
              <w:t>+</w:t>
            </w:r>
          </w:p>
        </w:tc>
        <w:tc>
          <w:tcPr>
            <w:tcW w:w="218" w:type="dxa"/>
          </w:tcPr>
          <w:p w:rsidR="00FC0CB8" w:rsidRDefault="00FC0CB8">
            <w:r w:rsidRPr="00E828F7">
              <w:rPr>
                <w:rFonts w:ascii="Calibri" w:hAnsi="Calibri" w:cs="Calibri"/>
                <w:smallCaps/>
                <w:sz w:val="14"/>
                <w:szCs w:val="14"/>
                <w:lang w:val="en-US"/>
              </w:rPr>
              <w:t>+</w:t>
            </w:r>
          </w:p>
        </w:tc>
        <w:tc>
          <w:tcPr>
            <w:tcW w:w="219" w:type="dxa"/>
          </w:tcPr>
          <w:p w:rsidR="00FC0CB8" w:rsidRDefault="00FC0CB8">
            <w:r w:rsidRPr="00E828F7">
              <w:rPr>
                <w:rFonts w:ascii="Calibri" w:hAnsi="Calibri" w:cs="Calibri"/>
                <w:smallCaps/>
                <w:sz w:val="14"/>
                <w:szCs w:val="14"/>
                <w:lang w:val="en-US"/>
              </w:rPr>
              <w:t>+</w:t>
            </w:r>
          </w:p>
        </w:tc>
        <w:tc>
          <w:tcPr>
            <w:tcW w:w="219" w:type="dxa"/>
          </w:tcPr>
          <w:p w:rsidR="00FC0CB8" w:rsidRDefault="00FC0CB8">
            <w:r w:rsidRPr="00E828F7">
              <w:rPr>
                <w:rFonts w:ascii="Calibri" w:hAnsi="Calibri" w:cs="Calibri"/>
                <w:smallCaps/>
                <w:sz w:val="14"/>
                <w:szCs w:val="14"/>
                <w:lang w:val="en-US"/>
              </w:rPr>
              <w:t>+</w:t>
            </w:r>
          </w:p>
        </w:tc>
        <w:tc>
          <w:tcPr>
            <w:tcW w:w="218" w:type="dxa"/>
          </w:tcPr>
          <w:p w:rsidR="00FC0CB8" w:rsidRDefault="00FC0CB8">
            <w:r w:rsidRPr="00E828F7">
              <w:rPr>
                <w:rFonts w:ascii="Calibri" w:hAnsi="Calibri" w:cs="Calibri"/>
                <w:smallCaps/>
                <w:sz w:val="14"/>
                <w:szCs w:val="14"/>
                <w:lang w:val="en-US"/>
              </w:rPr>
              <w:t>+</w:t>
            </w:r>
          </w:p>
        </w:tc>
        <w:tc>
          <w:tcPr>
            <w:tcW w:w="219" w:type="dxa"/>
          </w:tcPr>
          <w:p w:rsidR="00FC0CB8" w:rsidRDefault="00FC0CB8">
            <w:r w:rsidRPr="00E828F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LDL chol</w:t>
            </w:r>
          </w:p>
        </w:tc>
        <w:tc>
          <w:tcPr>
            <w:tcW w:w="581"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TG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WBC</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Hb</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Platelets</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Pr>
                <w:rFonts w:ascii="Calibri" w:hAnsi="Calibri" w:cs="Calibri"/>
                <w:sz w:val="12"/>
                <w:szCs w:val="12"/>
                <w:lang w:val="en-US"/>
              </w:rPr>
              <w:t>FK (CyA)</w:t>
            </w:r>
          </w:p>
        </w:tc>
        <w:tc>
          <w:tcPr>
            <w:tcW w:w="581" w:type="dxa"/>
          </w:tcPr>
          <w:p w:rsidR="00FC0CB8" w:rsidRPr="00C40957" w:rsidRDefault="00034214"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Pr>
                <w:rFonts w:ascii="Calibri" w:hAnsi="Calibri" w:cs="Calibri"/>
                <w:sz w:val="12"/>
                <w:szCs w:val="12"/>
                <w:lang w:val="en-US"/>
              </w:rPr>
              <w:t>MPA AUC</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CMV-IgM,IgG</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HBsAg*</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anti HCV Ab</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 xml:space="preserve">PCR HCV </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HHV6-IgM,IgG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EBV-IgM, IgG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HHV8-IgG</w:t>
            </w:r>
          </w:p>
        </w:tc>
        <w:tc>
          <w:tcPr>
            <w:tcW w:w="581"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FluoroSpot CMV</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FluoroSpot Allo</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Luminex DSA</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915236">
        <w:tc>
          <w:tcPr>
            <w:tcW w:w="1332" w:type="dxa"/>
          </w:tcPr>
          <w:p w:rsidR="00FC0CB8" w:rsidRPr="00DC54B1" w:rsidRDefault="00FC0CB8" w:rsidP="00C77827">
            <w:pPr>
              <w:spacing w:line="360" w:lineRule="auto"/>
              <w:jc w:val="center"/>
              <w:rPr>
                <w:rFonts w:ascii="Calibri" w:hAnsi="Calibri" w:cs="Calibri"/>
                <w:sz w:val="12"/>
                <w:szCs w:val="12"/>
                <w:lang w:val="en-US"/>
              </w:rPr>
            </w:pPr>
            <w:r w:rsidRPr="00DC54B1">
              <w:rPr>
                <w:rFonts w:ascii="Calibri" w:hAnsi="Calibri" w:cs="Calibri"/>
                <w:sz w:val="12"/>
                <w:szCs w:val="12"/>
                <w:lang w:val="en-US"/>
              </w:rPr>
              <w:t>PCR polyoma</w:t>
            </w:r>
          </w:p>
        </w:tc>
        <w:tc>
          <w:tcPr>
            <w:tcW w:w="581" w:type="dxa"/>
          </w:tcPr>
          <w:p w:rsidR="00FC0CB8" w:rsidRPr="00C40957" w:rsidRDefault="00ED7992">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136F9C">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Default="00FC0CB8">
            <w:r w:rsidRPr="00C435BC">
              <w:rPr>
                <w:rFonts w:ascii="Calibri" w:hAnsi="Calibri" w:cs="Calibri"/>
                <w:smallCaps/>
                <w:sz w:val="14"/>
                <w:szCs w:val="14"/>
                <w:lang w:val="en-US"/>
              </w:rPr>
              <w:t>+</w:t>
            </w:r>
          </w:p>
        </w:tc>
        <w:tc>
          <w:tcPr>
            <w:tcW w:w="219" w:type="dxa"/>
          </w:tcPr>
          <w:p w:rsidR="00FC0CB8" w:rsidRDefault="00FC0CB8">
            <w:r w:rsidRPr="00C435BC">
              <w:rPr>
                <w:rFonts w:ascii="Calibri" w:hAnsi="Calibri" w:cs="Calibri"/>
                <w:smallCaps/>
                <w:sz w:val="14"/>
                <w:szCs w:val="14"/>
                <w:lang w:val="en-US"/>
              </w:rPr>
              <w:t>+</w:t>
            </w:r>
          </w:p>
        </w:tc>
        <w:tc>
          <w:tcPr>
            <w:tcW w:w="219" w:type="dxa"/>
          </w:tcPr>
          <w:p w:rsidR="00FC0CB8" w:rsidRDefault="00FC0CB8">
            <w:r w:rsidRPr="00C435BC">
              <w:rPr>
                <w:rFonts w:ascii="Calibri" w:hAnsi="Calibri" w:cs="Calibri"/>
                <w:smallCaps/>
                <w:sz w:val="14"/>
                <w:szCs w:val="14"/>
                <w:lang w:val="en-US"/>
              </w:rPr>
              <w:t>+</w:t>
            </w:r>
          </w:p>
        </w:tc>
        <w:tc>
          <w:tcPr>
            <w:tcW w:w="218" w:type="dxa"/>
          </w:tcPr>
          <w:p w:rsidR="00FC0CB8" w:rsidRDefault="00FC0CB8">
            <w:r w:rsidRPr="00C435BC">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bl>
    <w:p w:rsidR="00FC0CB8" w:rsidRDefault="00FC0CB8" w:rsidP="004C3A30">
      <w:pPr>
        <w:rPr>
          <w:rFonts w:ascii="Calibri" w:hAnsi="Calibri" w:cs="Calibri"/>
          <w:b/>
          <w:sz w:val="18"/>
          <w:szCs w:val="18"/>
          <w:lang w:val="en-US"/>
        </w:rPr>
      </w:pPr>
      <w:r w:rsidRPr="00C40957">
        <w:rPr>
          <w:rFonts w:ascii="Calibri" w:hAnsi="Calibri" w:cs="Calibri"/>
          <w:b/>
          <w:smallCaps/>
          <w:sz w:val="12"/>
          <w:szCs w:val="12"/>
          <w:lang w:val="en-US"/>
        </w:rPr>
        <w:t>*</w:t>
      </w:r>
      <w:r w:rsidRPr="00C40957">
        <w:rPr>
          <w:rFonts w:ascii="Calibri" w:hAnsi="Calibri" w:cs="Calibri"/>
          <w:sz w:val="12"/>
          <w:szCs w:val="12"/>
          <w:lang w:val="en-US"/>
        </w:rPr>
        <w:t>HBeAg</w:t>
      </w:r>
      <w:r>
        <w:rPr>
          <w:rFonts w:ascii="Calibri" w:hAnsi="Calibri" w:cs="Calibri"/>
          <w:sz w:val="12"/>
          <w:szCs w:val="12"/>
          <w:lang w:val="en-US"/>
        </w:rPr>
        <w:t xml:space="preserve"> and PCR HBV </w:t>
      </w:r>
      <w:r w:rsidRPr="00C40957">
        <w:rPr>
          <w:rFonts w:ascii="Calibri" w:hAnsi="Calibri" w:cs="Calibri"/>
          <w:sz w:val="12"/>
          <w:szCs w:val="12"/>
          <w:lang w:val="en-US"/>
        </w:rPr>
        <w:t>will be performed in the case of HBsAg+.</w:t>
      </w:r>
      <w:r w:rsidRPr="00F01DAC">
        <w:rPr>
          <w:rFonts w:ascii="Calibri" w:hAnsi="Calibri" w:cs="Calibri"/>
          <w:b/>
          <w:smallCaps/>
          <w:sz w:val="18"/>
          <w:lang w:val="en-US"/>
        </w:rPr>
        <w:br w:type="page"/>
      </w:r>
      <w:r w:rsidRPr="007B07FD">
        <w:rPr>
          <w:rFonts w:ascii="Calibri" w:hAnsi="Calibri" w:cs="Calibri"/>
          <w:b/>
          <w:sz w:val="18"/>
          <w:szCs w:val="18"/>
          <w:lang w:val="en-US"/>
        </w:rPr>
        <w:lastRenderedPageBreak/>
        <w:t>Table 1B Shedule of visits and lab assessments – PRE</w:t>
      </w:r>
      <w:r>
        <w:rPr>
          <w:rFonts w:ascii="Calibri" w:hAnsi="Calibri" w:cs="Calibri"/>
          <w:b/>
          <w:sz w:val="18"/>
          <w:szCs w:val="18"/>
          <w:lang w:val="en-US"/>
        </w:rPr>
        <w:t>-</w:t>
      </w:r>
      <w:r w:rsidRPr="007B07FD">
        <w:rPr>
          <w:rFonts w:ascii="Calibri" w:hAnsi="Calibri" w:cs="Calibri"/>
          <w:b/>
          <w:sz w:val="18"/>
          <w:szCs w:val="18"/>
          <w:lang w:val="en-US"/>
        </w:rPr>
        <w:t>EMPTIVE – valganciclovir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332"/>
        <w:gridCol w:w="581"/>
        <w:gridCol w:w="218"/>
        <w:gridCol w:w="219"/>
        <w:gridCol w:w="218"/>
        <w:gridCol w:w="219"/>
        <w:gridCol w:w="219"/>
        <w:gridCol w:w="218"/>
        <w:gridCol w:w="219"/>
        <w:gridCol w:w="219"/>
        <w:gridCol w:w="218"/>
        <w:gridCol w:w="219"/>
        <w:gridCol w:w="219"/>
        <w:gridCol w:w="218"/>
        <w:gridCol w:w="219"/>
        <w:gridCol w:w="218"/>
        <w:gridCol w:w="219"/>
        <w:gridCol w:w="219"/>
        <w:gridCol w:w="218"/>
        <w:gridCol w:w="219"/>
        <w:gridCol w:w="219"/>
        <w:gridCol w:w="218"/>
        <w:gridCol w:w="219"/>
        <w:gridCol w:w="219"/>
        <w:gridCol w:w="218"/>
        <w:gridCol w:w="219"/>
        <w:gridCol w:w="218"/>
        <w:gridCol w:w="219"/>
        <w:gridCol w:w="219"/>
        <w:gridCol w:w="218"/>
        <w:gridCol w:w="219"/>
        <w:gridCol w:w="219"/>
        <w:gridCol w:w="218"/>
        <w:gridCol w:w="219"/>
        <w:gridCol w:w="219"/>
      </w:tblGrid>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week/</w:t>
            </w:r>
            <w:r w:rsidRPr="00DC54B1">
              <w:rPr>
                <w:rFonts w:ascii="Calibri" w:hAnsi="Calibri" w:cs="Calibri"/>
                <w:b/>
                <w:sz w:val="12"/>
                <w:szCs w:val="12"/>
                <w:lang w:val="en-US"/>
              </w:rPr>
              <w:t xml:space="preserve">months </w:t>
            </w:r>
            <w:r w:rsidRPr="00DC54B1">
              <w:rPr>
                <w:rFonts w:ascii="Calibri" w:hAnsi="Calibri" w:cs="Calibri"/>
                <w:sz w:val="12"/>
                <w:szCs w:val="12"/>
                <w:lang w:val="en-US"/>
              </w:rPr>
              <w:t>post-Tx</w:t>
            </w:r>
          </w:p>
        </w:tc>
        <w:tc>
          <w:tcPr>
            <w:tcW w:w="581" w:type="dxa"/>
          </w:tcPr>
          <w:p w:rsidR="00FC0CB8" w:rsidRPr="00DC54B1" w:rsidRDefault="00FC0CB8" w:rsidP="00850219">
            <w:pPr>
              <w:spacing w:line="360" w:lineRule="auto"/>
              <w:jc w:val="center"/>
              <w:rPr>
                <w:rFonts w:ascii="Calibri" w:hAnsi="Calibri" w:cs="Calibri"/>
                <w:sz w:val="10"/>
                <w:szCs w:val="10"/>
                <w:lang w:val="en-US"/>
              </w:rPr>
            </w:pPr>
            <w:r w:rsidRPr="00DC54B1">
              <w:rPr>
                <w:rFonts w:ascii="Calibri" w:hAnsi="Calibri" w:cs="Calibri"/>
                <w:sz w:val="10"/>
                <w:szCs w:val="10"/>
                <w:lang w:val="en-US"/>
              </w:rPr>
              <w:t>preTx</w:t>
            </w:r>
          </w:p>
        </w:tc>
        <w:tc>
          <w:tcPr>
            <w:tcW w:w="218"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2</w:t>
            </w:r>
          </w:p>
        </w:tc>
        <w:tc>
          <w:tcPr>
            <w:tcW w:w="218"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3</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4</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5</w:t>
            </w:r>
          </w:p>
        </w:tc>
        <w:tc>
          <w:tcPr>
            <w:tcW w:w="218"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6</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7</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8</w:t>
            </w:r>
          </w:p>
        </w:tc>
        <w:tc>
          <w:tcPr>
            <w:tcW w:w="218"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9</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10</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11</w:t>
            </w:r>
          </w:p>
        </w:tc>
        <w:tc>
          <w:tcPr>
            <w:tcW w:w="218"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12</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Pr>
                <w:rFonts w:ascii="Calibri" w:hAnsi="Calibri" w:cs="Calibri"/>
                <w:smallCaps/>
                <w:sz w:val="10"/>
                <w:szCs w:val="10"/>
                <w:lang w:val="en-US"/>
              </w:rPr>
              <w:t>13</w:t>
            </w:r>
          </w:p>
        </w:tc>
        <w:tc>
          <w:tcPr>
            <w:tcW w:w="218"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14</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15</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16</w:t>
            </w:r>
          </w:p>
        </w:tc>
        <w:tc>
          <w:tcPr>
            <w:tcW w:w="218"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20</w:t>
            </w:r>
          </w:p>
        </w:tc>
        <w:tc>
          <w:tcPr>
            <w:tcW w:w="219" w:type="dxa"/>
          </w:tcPr>
          <w:p w:rsidR="00FC0CB8" w:rsidRPr="00915236" w:rsidRDefault="00FC0CB8" w:rsidP="00850219">
            <w:pPr>
              <w:spacing w:line="360" w:lineRule="auto"/>
              <w:jc w:val="center"/>
              <w:rPr>
                <w:rFonts w:ascii="Calibri" w:hAnsi="Calibri" w:cs="Calibri"/>
                <w:smallCaps/>
                <w:sz w:val="10"/>
                <w:szCs w:val="10"/>
                <w:lang w:val="en-US"/>
              </w:rPr>
            </w:pPr>
            <w:r w:rsidRPr="00915236">
              <w:rPr>
                <w:rFonts w:ascii="Calibri" w:hAnsi="Calibri" w:cs="Calibri"/>
                <w:smallCaps/>
                <w:sz w:val="10"/>
                <w:szCs w:val="10"/>
                <w:lang w:val="en-US"/>
              </w:rPr>
              <w:t>24</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7</w:t>
            </w:r>
          </w:p>
        </w:tc>
        <w:tc>
          <w:tcPr>
            <w:tcW w:w="218"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8</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9</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10</w:t>
            </w:r>
          </w:p>
        </w:tc>
        <w:tc>
          <w:tcPr>
            <w:tcW w:w="218"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11</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12</w:t>
            </w:r>
          </w:p>
        </w:tc>
        <w:tc>
          <w:tcPr>
            <w:tcW w:w="218"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15</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18</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21</w:t>
            </w:r>
          </w:p>
        </w:tc>
        <w:tc>
          <w:tcPr>
            <w:tcW w:w="218"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24</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27</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30</w:t>
            </w:r>
          </w:p>
        </w:tc>
        <w:tc>
          <w:tcPr>
            <w:tcW w:w="218"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33</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36</w:t>
            </w:r>
          </w:p>
        </w:tc>
        <w:tc>
          <w:tcPr>
            <w:tcW w:w="219" w:type="dxa"/>
          </w:tcPr>
          <w:p w:rsidR="00FC0CB8" w:rsidRPr="00915236" w:rsidRDefault="00FC0CB8" w:rsidP="00850219">
            <w:pPr>
              <w:spacing w:line="360" w:lineRule="auto"/>
              <w:jc w:val="center"/>
              <w:rPr>
                <w:rFonts w:ascii="Calibri" w:hAnsi="Calibri" w:cs="Calibri"/>
                <w:b/>
                <w:smallCaps/>
                <w:sz w:val="10"/>
                <w:szCs w:val="10"/>
                <w:lang w:val="en-US"/>
              </w:rPr>
            </w:pPr>
            <w:r>
              <w:rPr>
                <w:rFonts w:ascii="Calibri" w:hAnsi="Calibri" w:cs="Calibri"/>
                <w:b/>
                <w:smallCaps/>
                <w:sz w:val="10"/>
                <w:szCs w:val="10"/>
                <w:lang w:val="en-US"/>
              </w:rPr>
              <w:t>48</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rPr>
            </w:pPr>
            <w:r w:rsidRPr="00DC54B1">
              <w:rPr>
                <w:rFonts w:ascii="Calibri" w:hAnsi="Calibri" w:cs="Calibri"/>
                <w:sz w:val="12"/>
                <w:szCs w:val="12"/>
              </w:rPr>
              <w:t>Clinical, CMV disease, adverse events, BP</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PCR CMV</w:t>
            </w:r>
          </w:p>
        </w:tc>
        <w:tc>
          <w:tcPr>
            <w:tcW w:w="581" w:type="dxa"/>
          </w:tcPr>
          <w:p w:rsidR="00FC0CB8" w:rsidRPr="00C40957" w:rsidRDefault="00FC0CB8" w:rsidP="00850219">
            <w:pPr>
              <w:jc w:val="center"/>
              <w:rPr>
                <w:rFonts w:ascii="Calibri" w:hAnsi="Calibri" w:cs="Calibri"/>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rPr>
                <w:rFonts w:ascii="Calibri" w:hAnsi="Calibri"/>
                <w:sz w:val="14"/>
                <w:szCs w:val="14"/>
              </w:rPr>
            </w:pPr>
            <w:r w:rsidRPr="00C40957">
              <w:rPr>
                <w:rFonts w:ascii="Calibri" w:hAnsi="Calibri" w:cs="Calibri"/>
                <w:smallCaps/>
                <w:sz w:val="14"/>
                <w:szCs w:val="14"/>
                <w:lang w:val="en-US"/>
              </w:rPr>
              <w:t>-</w:t>
            </w:r>
          </w:p>
        </w:tc>
        <w:tc>
          <w:tcPr>
            <w:tcW w:w="219" w:type="dxa"/>
          </w:tcPr>
          <w:p w:rsidR="00FC0CB8" w:rsidRPr="00C40957" w:rsidRDefault="00FC0CB8" w:rsidP="00850219">
            <w:pP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s-Cr</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high/weight</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vertAlign w:val="subscript"/>
                <w:lang w:val="en-US"/>
              </w:rPr>
            </w:pPr>
            <w:r w:rsidRPr="00DC54B1">
              <w:rPr>
                <w:rFonts w:ascii="Calibri" w:hAnsi="Calibri" w:cs="Calibri"/>
                <w:sz w:val="12"/>
                <w:szCs w:val="12"/>
                <w:lang w:val="en-US"/>
              </w:rPr>
              <w:t>eGFR (MDRD)</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vertAlign w:val="subscript"/>
                <w:lang w:val="en-US"/>
              </w:rPr>
            </w:pPr>
            <w:r w:rsidRPr="00DC54B1">
              <w:rPr>
                <w:rFonts w:ascii="Calibri" w:hAnsi="Calibri" w:cs="Calibri"/>
                <w:sz w:val="12"/>
                <w:szCs w:val="12"/>
                <w:lang w:val="en-US"/>
              </w:rPr>
              <w:t>Urine protein loss per day</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Pr>
                <w:rFonts w:ascii="Calibri" w:hAnsi="Calibri" w:cs="Calibri"/>
                <w:sz w:val="12"/>
                <w:szCs w:val="12"/>
                <w:lang w:val="en-US"/>
              </w:rPr>
              <w:t>U-Prot</w:t>
            </w:r>
            <w:r w:rsidRPr="00DC54B1">
              <w:rPr>
                <w:rFonts w:ascii="Calibri" w:hAnsi="Calibri" w:cs="Calibri"/>
                <w:sz w:val="12"/>
                <w:szCs w:val="12"/>
                <w:lang w:val="en-US"/>
              </w:rPr>
              <w:t>/Cr ratio</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s-urea</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s-ALT</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s-AST</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s-GMT</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s-bili</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s-ALP</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s-Alb</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s-CRP</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K</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Mg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Ca</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P</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Uric  acid</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Chol-total</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LDL chol</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TG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8" w:type="dxa"/>
          </w:tcPr>
          <w:p w:rsidR="00FC0CB8" w:rsidRDefault="00FC0CB8" w:rsidP="00850219">
            <w:r w:rsidRPr="00E828F7">
              <w:rPr>
                <w:rFonts w:ascii="Calibri" w:hAnsi="Calibri" w:cs="Calibri"/>
                <w:smallCaps/>
                <w:sz w:val="14"/>
                <w:szCs w:val="14"/>
                <w:lang w:val="en-US"/>
              </w:rPr>
              <w:t>+</w:t>
            </w:r>
          </w:p>
        </w:tc>
        <w:tc>
          <w:tcPr>
            <w:tcW w:w="219" w:type="dxa"/>
          </w:tcPr>
          <w:p w:rsidR="00FC0CB8" w:rsidRDefault="00FC0CB8" w:rsidP="00850219">
            <w:r w:rsidRPr="00E828F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WBC</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Hb</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Platelets</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Pr>
                <w:rFonts w:ascii="Calibri" w:hAnsi="Calibri" w:cs="Calibri"/>
                <w:sz w:val="12"/>
                <w:szCs w:val="12"/>
                <w:lang w:val="en-US"/>
              </w:rPr>
              <w:t>FK (CyA)</w:t>
            </w:r>
          </w:p>
        </w:tc>
        <w:tc>
          <w:tcPr>
            <w:tcW w:w="581" w:type="dxa"/>
          </w:tcPr>
          <w:p w:rsidR="00FC0CB8" w:rsidRPr="00C40957" w:rsidRDefault="00034214"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Pr>
                <w:rFonts w:ascii="Calibri" w:hAnsi="Calibri" w:cs="Calibri"/>
                <w:sz w:val="12"/>
                <w:szCs w:val="12"/>
                <w:lang w:val="en-US"/>
              </w:rPr>
              <w:t>MPA AUC</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CMV-IgM,IgG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HBsAg*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anti HCV Ab</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 xml:space="preserve">PCR HCV </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HHV6-IgM,IgG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EBV-IgM, IgG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HHV8-IgG</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FluoroSpot CMV</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FluoroSpot Allo</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Luminex DSA</w:t>
            </w:r>
          </w:p>
        </w:tc>
        <w:tc>
          <w:tcPr>
            <w:tcW w:w="581"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r w:rsidR="00FC0CB8" w:rsidRPr="007B07FD" w:rsidTr="00850219">
        <w:tc>
          <w:tcPr>
            <w:tcW w:w="1332" w:type="dxa"/>
          </w:tcPr>
          <w:p w:rsidR="00FC0CB8" w:rsidRPr="00DC54B1" w:rsidRDefault="00FC0CB8" w:rsidP="00850219">
            <w:pPr>
              <w:spacing w:line="360" w:lineRule="auto"/>
              <w:jc w:val="center"/>
              <w:rPr>
                <w:rFonts w:ascii="Calibri" w:hAnsi="Calibri" w:cs="Calibri"/>
                <w:sz w:val="12"/>
                <w:szCs w:val="12"/>
                <w:lang w:val="en-US"/>
              </w:rPr>
            </w:pPr>
            <w:r w:rsidRPr="00DC54B1">
              <w:rPr>
                <w:rFonts w:ascii="Calibri" w:hAnsi="Calibri" w:cs="Calibri"/>
                <w:sz w:val="12"/>
                <w:szCs w:val="12"/>
                <w:lang w:val="en-US"/>
              </w:rPr>
              <w:t>PCR polyoma</w:t>
            </w:r>
          </w:p>
        </w:tc>
        <w:tc>
          <w:tcPr>
            <w:tcW w:w="581" w:type="dxa"/>
          </w:tcPr>
          <w:p w:rsidR="00FC0CB8" w:rsidRPr="00C40957" w:rsidRDefault="00ED7992"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136F9C"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8" w:type="dxa"/>
          </w:tcPr>
          <w:p w:rsidR="00FC0CB8" w:rsidRDefault="00FC0CB8" w:rsidP="00850219">
            <w:r w:rsidRPr="00C435BC">
              <w:rPr>
                <w:rFonts w:ascii="Calibri" w:hAnsi="Calibri" w:cs="Calibri"/>
                <w:smallCaps/>
                <w:sz w:val="14"/>
                <w:szCs w:val="14"/>
                <w:lang w:val="en-US"/>
              </w:rPr>
              <w:t>+</w:t>
            </w:r>
          </w:p>
        </w:tc>
        <w:tc>
          <w:tcPr>
            <w:tcW w:w="219" w:type="dxa"/>
          </w:tcPr>
          <w:p w:rsidR="00FC0CB8" w:rsidRDefault="00FC0CB8" w:rsidP="00850219">
            <w:r w:rsidRPr="00C435BC">
              <w:rPr>
                <w:rFonts w:ascii="Calibri" w:hAnsi="Calibri" w:cs="Calibri"/>
                <w:smallCaps/>
                <w:sz w:val="14"/>
                <w:szCs w:val="14"/>
                <w:lang w:val="en-US"/>
              </w:rPr>
              <w:t>+</w:t>
            </w:r>
          </w:p>
        </w:tc>
        <w:tc>
          <w:tcPr>
            <w:tcW w:w="219" w:type="dxa"/>
          </w:tcPr>
          <w:p w:rsidR="00FC0CB8" w:rsidRDefault="00FC0CB8" w:rsidP="00850219">
            <w:r w:rsidRPr="00C435BC">
              <w:rPr>
                <w:rFonts w:ascii="Calibri" w:hAnsi="Calibri" w:cs="Calibri"/>
                <w:smallCaps/>
                <w:sz w:val="14"/>
                <w:szCs w:val="14"/>
                <w:lang w:val="en-US"/>
              </w:rPr>
              <w:t>+</w:t>
            </w:r>
          </w:p>
        </w:tc>
        <w:tc>
          <w:tcPr>
            <w:tcW w:w="218" w:type="dxa"/>
          </w:tcPr>
          <w:p w:rsidR="00FC0CB8" w:rsidRDefault="00FC0CB8" w:rsidP="00850219">
            <w:r w:rsidRPr="00C435BC">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8"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Pr>
                <w:rFonts w:ascii="Calibri" w:hAnsi="Calibri" w:cs="Calibri"/>
                <w:smallCaps/>
                <w:sz w:val="14"/>
                <w:szCs w:val="14"/>
                <w:lang w:val="en-US"/>
              </w:rPr>
              <w:t>+</w:t>
            </w:r>
          </w:p>
        </w:tc>
        <w:tc>
          <w:tcPr>
            <w:tcW w:w="219" w:type="dxa"/>
          </w:tcPr>
          <w:p w:rsidR="00FC0CB8" w:rsidRPr="00C40957" w:rsidRDefault="00FC0CB8" w:rsidP="00850219">
            <w:pPr>
              <w:spacing w:line="360" w:lineRule="auto"/>
              <w:jc w:val="center"/>
              <w:rPr>
                <w:rFonts w:ascii="Calibri" w:hAnsi="Calibri" w:cs="Calibri"/>
                <w:smallCaps/>
                <w:sz w:val="14"/>
                <w:szCs w:val="14"/>
                <w:lang w:val="en-US"/>
              </w:rPr>
            </w:pPr>
            <w:r w:rsidRPr="00C40957">
              <w:rPr>
                <w:rFonts w:ascii="Calibri" w:hAnsi="Calibri" w:cs="Calibri"/>
                <w:smallCaps/>
                <w:sz w:val="14"/>
                <w:szCs w:val="14"/>
                <w:lang w:val="en-US"/>
              </w:rPr>
              <w:t>-</w:t>
            </w:r>
          </w:p>
        </w:tc>
      </w:tr>
    </w:tbl>
    <w:p w:rsidR="00FC0CB8" w:rsidRPr="007B07FD" w:rsidRDefault="00FC0CB8">
      <w:pPr>
        <w:spacing w:line="360" w:lineRule="auto"/>
        <w:rPr>
          <w:rFonts w:ascii="Calibri" w:hAnsi="Calibri" w:cs="Calibri"/>
          <w:sz w:val="18"/>
          <w:szCs w:val="18"/>
          <w:lang w:val="en-US"/>
        </w:rPr>
      </w:pPr>
      <w:r w:rsidRPr="00C40957">
        <w:rPr>
          <w:rFonts w:ascii="Calibri" w:hAnsi="Calibri" w:cs="Calibri"/>
          <w:b/>
          <w:smallCaps/>
          <w:sz w:val="12"/>
          <w:szCs w:val="12"/>
          <w:lang w:val="en-US"/>
        </w:rPr>
        <w:t>*</w:t>
      </w:r>
      <w:r w:rsidRPr="00C40957">
        <w:rPr>
          <w:rFonts w:ascii="Calibri" w:hAnsi="Calibri" w:cs="Calibri"/>
          <w:sz w:val="12"/>
          <w:szCs w:val="12"/>
          <w:lang w:val="en-US"/>
        </w:rPr>
        <w:t>HBeAg</w:t>
      </w:r>
      <w:r>
        <w:rPr>
          <w:rFonts w:ascii="Calibri" w:hAnsi="Calibri" w:cs="Calibri"/>
          <w:sz w:val="12"/>
          <w:szCs w:val="12"/>
          <w:lang w:val="en-US"/>
        </w:rPr>
        <w:t xml:space="preserve"> and PCR HBV </w:t>
      </w:r>
      <w:r w:rsidRPr="00C40957">
        <w:rPr>
          <w:rFonts w:ascii="Calibri" w:hAnsi="Calibri" w:cs="Calibri"/>
          <w:sz w:val="12"/>
          <w:szCs w:val="12"/>
          <w:lang w:val="en-US"/>
        </w:rPr>
        <w:t>will be performed in the case of HBsAg+.</w:t>
      </w:r>
    </w:p>
    <w:p w:rsidR="00FC0CB8" w:rsidRPr="00D270EA" w:rsidRDefault="00FC0CB8" w:rsidP="00A7035B">
      <w:pPr>
        <w:rPr>
          <w:rFonts w:ascii="Calibri" w:hAnsi="Calibri"/>
          <w:b/>
          <w:lang w:val="en-US"/>
        </w:rPr>
      </w:pPr>
      <w:r w:rsidRPr="00F01DAC">
        <w:rPr>
          <w:b/>
          <w:smallCaps/>
          <w:sz w:val="18"/>
          <w:lang w:val="en-US"/>
        </w:rPr>
        <w:br w:type="page"/>
      </w:r>
      <w:r w:rsidRPr="00D270EA">
        <w:rPr>
          <w:rFonts w:ascii="Calibri" w:hAnsi="Calibri"/>
          <w:b/>
          <w:lang w:val="en-US"/>
        </w:rPr>
        <w:lastRenderedPageBreak/>
        <w:t>T</w:t>
      </w:r>
      <w:r>
        <w:rPr>
          <w:rFonts w:ascii="Calibri" w:hAnsi="Calibri"/>
          <w:b/>
          <w:lang w:val="en-US"/>
        </w:rPr>
        <w:t>able 2</w:t>
      </w:r>
      <w:r w:rsidRPr="00D270EA">
        <w:rPr>
          <w:rFonts w:ascii="Calibri" w:hAnsi="Calibri"/>
          <w:b/>
          <w:lang w:val="en-US"/>
        </w:rPr>
        <w:t>: Selected genes for intrarenal mRNA gene expression analysis in protocol biopsy at 36 months after transplantation</w:t>
      </w:r>
      <w:r>
        <w:rPr>
          <w:rFonts w:ascii="Calibri" w:hAnsi="Calibri"/>
          <w:b/>
          <w:lang w:val="en-US"/>
        </w:rPr>
        <w:t xml:space="preserve"> (extended version, may be corrected based on up to date literature data)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275"/>
        <w:gridCol w:w="851"/>
        <w:gridCol w:w="2410"/>
        <w:gridCol w:w="3685"/>
      </w:tblGrid>
      <w:tr w:rsidR="00FC0CB8" w:rsidRPr="00742A5C" w:rsidTr="003905A2">
        <w:tc>
          <w:tcPr>
            <w:tcW w:w="1101" w:type="dxa"/>
            <w:vAlign w:val="bottom"/>
          </w:tcPr>
          <w:p w:rsidR="00FC0CB8" w:rsidRPr="00742A5C" w:rsidRDefault="00FC0CB8" w:rsidP="003905A2">
            <w:pPr>
              <w:rPr>
                <w:b/>
                <w:bCs/>
                <w:color w:val="000000"/>
                <w:sz w:val="16"/>
                <w:szCs w:val="16"/>
              </w:rPr>
            </w:pPr>
            <w:r w:rsidRPr="00742A5C">
              <w:rPr>
                <w:b/>
                <w:bCs/>
                <w:color w:val="000000"/>
                <w:sz w:val="16"/>
                <w:szCs w:val="16"/>
              </w:rPr>
              <w:t>Assay ID</w:t>
            </w:r>
          </w:p>
        </w:tc>
        <w:tc>
          <w:tcPr>
            <w:tcW w:w="1275" w:type="dxa"/>
            <w:vAlign w:val="bottom"/>
          </w:tcPr>
          <w:p w:rsidR="00FC0CB8" w:rsidRPr="00742A5C" w:rsidRDefault="00FC0CB8" w:rsidP="003905A2">
            <w:pPr>
              <w:rPr>
                <w:b/>
                <w:bCs/>
                <w:color w:val="000000"/>
                <w:sz w:val="16"/>
                <w:szCs w:val="16"/>
              </w:rPr>
            </w:pPr>
            <w:r w:rsidRPr="00742A5C">
              <w:rPr>
                <w:b/>
                <w:bCs/>
                <w:color w:val="000000"/>
                <w:sz w:val="16"/>
                <w:szCs w:val="16"/>
              </w:rPr>
              <w:t>Group</w:t>
            </w:r>
          </w:p>
        </w:tc>
        <w:tc>
          <w:tcPr>
            <w:tcW w:w="851" w:type="dxa"/>
            <w:vAlign w:val="bottom"/>
          </w:tcPr>
          <w:p w:rsidR="00FC0CB8" w:rsidRPr="00742A5C" w:rsidRDefault="00FC0CB8" w:rsidP="003905A2">
            <w:pPr>
              <w:rPr>
                <w:b/>
                <w:bCs/>
                <w:color w:val="000000"/>
                <w:sz w:val="16"/>
                <w:szCs w:val="16"/>
              </w:rPr>
            </w:pPr>
            <w:r w:rsidRPr="00742A5C">
              <w:rPr>
                <w:b/>
                <w:bCs/>
                <w:color w:val="000000"/>
                <w:sz w:val="16"/>
                <w:szCs w:val="16"/>
              </w:rPr>
              <w:t>Gene Symbol</w:t>
            </w:r>
          </w:p>
        </w:tc>
        <w:tc>
          <w:tcPr>
            <w:tcW w:w="2410" w:type="dxa"/>
            <w:vAlign w:val="bottom"/>
          </w:tcPr>
          <w:p w:rsidR="00FC0CB8" w:rsidRPr="00742A5C" w:rsidRDefault="00FC0CB8" w:rsidP="003905A2">
            <w:pPr>
              <w:rPr>
                <w:b/>
                <w:bCs/>
                <w:color w:val="000000"/>
                <w:sz w:val="16"/>
                <w:szCs w:val="16"/>
              </w:rPr>
            </w:pPr>
            <w:r w:rsidRPr="00742A5C">
              <w:rPr>
                <w:b/>
                <w:bCs/>
                <w:color w:val="000000"/>
                <w:sz w:val="16"/>
                <w:szCs w:val="16"/>
              </w:rPr>
              <w:t>Gene name</w:t>
            </w:r>
          </w:p>
        </w:tc>
        <w:tc>
          <w:tcPr>
            <w:tcW w:w="3685" w:type="dxa"/>
            <w:vAlign w:val="bottom"/>
          </w:tcPr>
          <w:p w:rsidR="00FC0CB8" w:rsidRPr="00742A5C" w:rsidRDefault="00FC0CB8" w:rsidP="003905A2">
            <w:pPr>
              <w:rPr>
                <w:b/>
                <w:bCs/>
                <w:color w:val="000000"/>
                <w:sz w:val="16"/>
                <w:szCs w:val="16"/>
              </w:rPr>
            </w:pPr>
            <w:r w:rsidRPr="00742A5C">
              <w:rPr>
                <w:b/>
                <w:bCs/>
                <w:color w:val="000000"/>
                <w:sz w:val="16"/>
                <w:szCs w:val="16"/>
              </w:rPr>
              <w:t>Pathways/function</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Hs99999905_m1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Dehydrogenase</w:t>
            </w:r>
          </w:p>
        </w:tc>
        <w:tc>
          <w:tcPr>
            <w:tcW w:w="851" w:type="dxa"/>
            <w:vAlign w:val="bottom"/>
          </w:tcPr>
          <w:p w:rsidR="00FC0CB8" w:rsidRPr="00742A5C" w:rsidRDefault="00FC0CB8" w:rsidP="003905A2">
            <w:pPr>
              <w:rPr>
                <w:color w:val="000000"/>
                <w:sz w:val="16"/>
                <w:szCs w:val="16"/>
              </w:rPr>
            </w:pPr>
            <w:r w:rsidRPr="00742A5C">
              <w:rPr>
                <w:color w:val="000000"/>
                <w:sz w:val="16"/>
                <w:szCs w:val="16"/>
              </w:rPr>
              <w:t>GAPDH</w:t>
            </w:r>
          </w:p>
        </w:tc>
        <w:tc>
          <w:tcPr>
            <w:tcW w:w="2410" w:type="dxa"/>
            <w:vAlign w:val="bottom"/>
          </w:tcPr>
          <w:p w:rsidR="00FC0CB8" w:rsidRPr="00742A5C" w:rsidRDefault="00FC0CB8" w:rsidP="003905A2">
            <w:pPr>
              <w:rPr>
                <w:color w:val="000000"/>
                <w:sz w:val="16"/>
                <w:szCs w:val="16"/>
              </w:rPr>
            </w:pPr>
            <w:r w:rsidRPr="00742A5C">
              <w:rPr>
                <w:color w:val="000000"/>
                <w:sz w:val="16"/>
                <w:szCs w:val="16"/>
              </w:rPr>
              <w:t>glyceraldehyde-3-phosphate dehydrogenase</w:t>
            </w:r>
          </w:p>
        </w:tc>
        <w:tc>
          <w:tcPr>
            <w:tcW w:w="3685" w:type="dxa"/>
            <w:vAlign w:val="bottom"/>
          </w:tcPr>
          <w:p w:rsidR="00FC0CB8" w:rsidRPr="00742A5C" w:rsidRDefault="00FC0CB8" w:rsidP="003905A2">
            <w:pPr>
              <w:rPr>
                <w:color w:val="000000"/>
                <w:sz w:val="16"/>
                <w:szCs w:val="16"/>
              </w:rPr>
            </w:pP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Hs00171072_m1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CCL1</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1</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Chemokine (C-C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Hs00237013_m1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CCL11</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11</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TH2 Cytokines, Chemokine (C-C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Hs00234646_m1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CCL13</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13</w:t>
            </w:r>
          </w:p>
        </w:tc>
        <w:tc>
          <w:tcPr>
            <w:tcW w:w="3685" w:type="dxa"/>
            <w:vAlign w:val="bottom"/>
          </w:tcPr>
          <w:p w:rsidR="00FC0CB8" w:rsidRPr="00742A5C" w:rsidRDefault="00FC0CB8" w:rsidP="003905A2">
            <w:pPr>
              <w:rPr>
                <w:sz w:val="16"/>
                <w:szCs w:val="16"/>
              </w:rPr>
            </w:pPr>
            <w:r w:rsidRPr="00742A5C">
              <w:rPr>
                <w:sz w:val="16"/>
                <w:szCs w:val="16"/>
              </w:rPr>
              <w:t>Chemokine Signaling, Renin-Angiotensin Pathway, TGF-Beta Pathway, Transendothelial Migration of Leukocytes, Chemokine (C-C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Hs00171123_m1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CCL16</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16</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Chemokine (C-C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Hs00171074_m1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CCL17</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17</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Chemokine (C-C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Hs00268113_m1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CCL18</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18 (pulmonary and activation-regulated)</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Chemokine (C-C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Hs00171149_m1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CCL19</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19</w:t>
            </w:r>
          </w:p>
        </w:tc>
        <w:tc>
          <w:tcPr>
            <w:tcW w:w="3685" w:type="dxa"/>
            <w:vAlign w:val="bottom"/>
          </w:tcPr>
          <w:p w:rsidR="00FC0CB8" w:rsidRPr="00742A5C" w:rsidRDefault="00FC0CB8" w:rsidP="003905A2">
            <w:pPr>
              <w:rPr>
                <w:sz w:val="16"/>
                <w:szCs w:val="16"/>
              </w:rPr>
            </w:pPr>
            <w:r w:rsidRPr="00742A5C">
              <w:rPr>
                <w:sz w:val="16"/>
                <w:szCs w:val="16"/>
              </w:rPr>
              <w:t>Chemokine Signaling,TGF-Beta Pathway, Transendothelial Migration of Leukocytes, Chemokine (C-C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Hs00234140_m1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CCL2</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2</w:t>
            </w:r>
          </w:p>
        </w:tc>
        <w:tc>
          <w:tcPr>
            <w:tcW w:w="3685" w:type="dxa"/>
            <w:vAlign w:val="bottom"/>
          </w:tcPr>
          <w:p w:rsidR="00FC0CB8" w:rsidRPr="00742A5C" w:rsidRDefault="00FC0CB8" w:rsidP="003905A2">
            <w:pPr>
              <w:rPr>
                <w:sz w:val="16"/>
                <w:szCs w:val="16"/>
              </w:rPr>
            </w:pPr>
            <w:r w:rsidRPr="00742A5C">
              <w:rPr>
                <w:sz w:val="16"/>
                <w:szCs w:val="16"/>
              </w:rPr>
              <w:t>Chemokine Signaling, Renin-Angiotensin Pathway, TGF-Beta Pathway, Transendothelial Migration of Leukocytes, Chemokine (C-C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Hs00171076_m1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CCL21</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21</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Hs00171080_m1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CCL22</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22</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Hs00270756_m1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CCL23</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23</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Hs00171082_m1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CCL24</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24</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Hs00234142_m1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CCL3</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3</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Genes Involved in T-cell Polarization, Chemokine (C-C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Hs99999148_m1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Miscellaneous function</w:t>
            </w:r>
          </w:p>
        </w:tc>
        <w:tc>
          <w:tcPr>
            <w:tcW w:w="851" w:type="dxa"/>
            <w:vAlign w:val="bottom"/>
          </w:tcPr>
          <w:p w:rsidR="00FC0CB8" w:rsidRPr="00742A5C" w:rsidRDefault="00FC0CB8" w:rsidP="003905A2">
            <w:pPr>
              <w:rPr>
                <w:color w:val="000000"/>
                <w:sz w:val="16"/>
                <w:szCs w:val="16"/>
              </w:rPr>
            </w:pPr>
            <w:r w:rsidRPr="00742A5C">
              <w:rPr>
                <w:color w:val="000000"/>
                <w:sz w:val="16"/>
                <w:szCs w:val="16"/>
              </w:rPr>
              <w:t>CCL4</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4</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Genes Involved in T-cell Polarization, Chemokine (C-C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Hs00174575_m1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CCL5</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5</w:t>
            </w:r>
          </w:p>
        </w:tc>
        <w:tc>
          <w:tcPr>
            <w:tcW w:w="3685" w:type="dxa"/>
            <w:vAlign w:val="bottom"/>
          </w:tcPr>
          <w:p w:rsidR="00FC0CB8" w:rsidRPr="00742A5C" w:rsidRDefault="00FC0CB8" w:rsidP="003905A2">
            <w:pPr>
              <w:rPr>
                <w:sz w:val="16"/>
                <w:szCs w:val="16"/>
              </w:rPr>
            </w:pPr>
            <w:r w:rsidRPr="00742A5C">
              <w:rPr>
                <w:sz w:val="16"/>
                <w:szCs w:val="16"/>
              </w:rPr>
              <w:t>Chemokine Signaling, TGF-Beta Pathway, Transendothelial Migration of Leukocytes, TH2 Cytokines , Chemokine (C-C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Hs00171147_m1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CCL7</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7</w:t>
            </w:r>
          </w:p>
        </w:tc>
        <w:tc>
          <w:tcPr>
            <w:tcW w:w="3685" w:type="dxa"/>
            <w:vAlign w:val="bottom"/>
          </w:tcPr>
          <w:p w:rsidR="00FC0CB8" w:rsidRPr="00742A5C" w:rsidRDefault="00FC0CB8" w:rsidP="003905A2">
            <w:pPr>
              <w:rPr>
                <w:sz w:val="16"/>
                <w:szCs w:val="16"/>
              </w:rPr>
            </w:pPr>
            <w:r w:rsidRPr="00742A5C">
              <w:rPr>
                <w:sz w:val="16"/>
                <w:szCs w:val="16"/>
              </w:rPr>
              <w:t>Chemokine Signaling, Renin-Angiotensin Pathway, TGF-Beta Pathway, Transendothelial Migration of Leukocytes, TH2 Cytokines , Chemokine (C-C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Hs00271615_m1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CCL8</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ligand 8</w:t>
            </w:r>
          </w:p>
        </w:tc>
        <w:tc>
          <w:tcPr>
            <w:tcW w:w="3685" w:type="dxa"/>
            <w:vAlign w:val="bottom"/>
          </w:tcPr>
          <w:p w:rsidR="00FC0CB8" w:rsidRPr="00742A5C" w:rsidRDefault="00FC0CB8" w:rsidP="003905A2">
            <w:pPr>
              <w:rPr>
                <w:sz w:val="16"/>
                <w:szCs w:val="16"/>
              </w:rPr>
            </w:pPr>
            <w:r w:rsidRPr="00742A5C">
              <w:rPr>
                <w:sz w:val="16"/>
                <w:szCs w:val="16"/>
              </w:rPr>
              <w:t>Chemokine Signaling, Renin-Angiotensin Pathway, TGF-Beta Pathway, Transendothelial Migration of Leukocytes , Chemokine (C-C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Hs00236937_m1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CXCL1</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ligand 1 (melanoma growth stimulating activity, alpha)</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 Chemokine (C-X-C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Hs00171042_m1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CXCL10</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ligand 10</w:t>
            </w:r>
          </w:p>
        </w:tc>
        <w:tc>
          <w:tcPr>
            <w:tcW w:w="3685" w:type="dxa"/>
            <w:vAlign w:val="bottom"/>
          </w:tcPr>
          <w:p w:rsidR="00FC0CB8" w:rsidRPr="00742A5C" w:rsidRDefault="00FC0CB8" w:rsidP="003905A2">
            <w:pPr>
              <w:rPr>
                <w:sz w:val="16"/>
                <w:szCs w:val="16"/>
              </w:rPr>
            </w:pPr>
            <w:r w:rsidRPr="00742A5C">
              <w:rPr>
                <w:sz w:val="16"/>
                <w:szCs w:val="16"/>
              </w:rPr>
              <w:t>Chemokine Signaling, Chemokine (C-X-C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Hs00171138_m1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CXCL11</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ligand 11</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 Chemokine (C-X-C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Hs00171022_m1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Growth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CXCL12</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ligand 12 (stromal cell-derived factor 1)</w:t>
            </w:r>
          </w:p>
        </w:tc>
        <w:tc>
          <w:tcPr>
            <w:tcW w:w="3685" w:type="dxa"/>
            <w:vAlign w:val="bottom"/>
          </w:tcPr>
          <w:p w:rsidR="00FC0CB8" w:rsidRPr="00742A5C" w:rsidRDefault="00FC0CB8" w:rsidP="003905A2">
            <w:pPr>
              <w:rPr>
                <w:sz w:val="16"/>
                <w:szCs w:val="16"/>
              </w:rPr>
            </w:pPr>
            <w:r w:rsidRPr="00742A5C">
              <w:rPr>
                <w:sz w:val="16"/>
                <w:szCs w:val="16"/>
              </w:rPr>
              <w:t>Cellular Apoptosis Pathway, Chemokine Signaling, Renin-Angiotensin Pathway, Transendothelial Migration of Leukocytes, Chemokine (C-X-C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Hs00757930</w:t>
            </w:r>
            <w:r w:rsidRPr="00742A5C">
              <w:rPr>
                <w:color w:val="000000"/>
                <w:sz w:val="16"/>
                <w:szCs w:val="16"/>
              </w:rPr>
              <w:lastRenderedPageBreak/>
              <w:t>_m1</w:t>
            </w:r>
          </w:p>
        </w:tc>
        <w:tc>
          <w:tcPr>
            <w:tcW w:w="1275" w:type="dxa"/>
            <w:vAlign w:val="bottom"/>
          </w:tcPr>
          <w:p w:rsidR="00FC0CB8" w:rsidRPr="00742A5C" w:rsidRDefault="00FC0CB8" w:rsidP="003905A2">
            <w:pPr>
              <w:rPr>
                <w:color w:val="000000"/>
                <w:sz w:val="16"/>
                <w:szCs w:val="16"/>
              </w:rPr>
            </w:pPr>
            <w:r w:rsidRPr="00742A5C">
              <w:rPr>
                <w:color w:val="000000"/>
                <w:sz w:val="16"/>
                <w:szCs w:val="16"/>
              </w:rPr>
              <w:lastRenderedPageBreak/>
              <w:t xml:space="preserve">Miscellaneous </w:t>
            </w:r>
            <w:r w:rsidRPr="00742A5C">
              <w:rPr>
                <w:color w:val="000000"/>
                <w:sz w:val="16"/>
                <w:szCs w:val="16"/>
              </w:rPr>
              <w:lastRenderedPageBreak/>
              <w:t>function</w:t>
            </w:r>
          </w:p>
        </w:tc>
        <w:tc>
          <w:tcPr>
            <w:tcW w:w="851" w:type="dxa"/>
            <w:vAlign w:val="bottom"/>
          </w:tcPr>
          <w:p w:rsidR="00FC0CB8" w:rsidRPr="00742A5C" w:rsidRDefault="00FC0CB8" w:rsidP="003905A2">
            <w:pPr>
              <w:rPr>
                <w:color w:val="000000"/>
                <w:sz w:val="16"/>
                <w:szCs w:val="16"/>
              </w:rPr>
            </w:pPr>
            <w:r w:rsidRPr="00742A5C">
              <w:rPr>
                <w:color w:val="000000"/>
                <w:sz w:val="16"/>
                <w:szCs w:val="16"/>
              </w:rPr>
              <w:lastRenderedPageBreak/>
              <w:t>CXCL13</w:t>
            </w:r>
          </w:p>
        </w:tc>
        <w:tc>
          <w:tcPr>
            <w:tcW w:w="2410" w:type="dxa"/>
            <w:vAlign w:val="bottom"/>
          </w:tcPr>
          <w:p w:rsidR="00FC0CB8" w:rsidRPr="00742A5C" w:rsidRDefault="00FC0CB8" w:rsidP="003905A2">
            <w:pPr>
              <w:rPr>
                <w:color w:val="000000"/>
                <w:sz w:val="16"/>
                <w:szCs w:val="16"/>
              </w:rPr>
            </w:pPr>
            <w:r w:rsidRPr="00742A5C">
              <w:rPr>
                <w:color w:val="000000"/>
                <w:sz w:val="16"/>
                <w:szCs w:val="16"/>
              </w:rPr>
              <w:t xml:space="preserve">chemokine (C-X-C motif) ligand </w:t>
            </w:r>
            <w:r w:rsidRPr="00742A5C">
              <w:rPr>
                <w:color w:val="000000"/>
                <w:sz w:val="16"/>
                <w:szCs w:val="16"/>
              </w:rPr>
              <w:lastRenderedPageBreak/>
              <w:t>13</w:t>
            </w:r>
          </w:p>
        </w:tc>
        <w:tc>
          <w:tcPr>
            <w:tcW w:w="3685" w:type="dxa"/>
            <w:vAlign w:val="bottom"/>
          </w:tcPr>
          <w:p w:rsidR="00FC0CB8" w:rsidRPr="00742A5C" w:rsidRDefault="00FC0CB8" w:rsidP="003905A2">
            <w:pPr>
              <w:rPr>
                <w:sz w:val="16"/>
                <w:szCs w:val="16"/>
              </w:rPr>
            </w:pPr>
            <w:r w:rsidRPr="00742A5C">
              <w:rPr>
                <w:sz w:val="16"/>
                <w:szCs w:val="16"/>
              </w:rPr>
              <w:lastRenderedPageBreak/>
              <w:t xml:space="preserve">Chemokine Signaling, Transendothelial Migration of </w:t>
            </w:r>
            <w:r w:rsidRPr="00742A5C">
              <w:rPr>
                <w:sz w:val="16"/>
                <w:szCs w:val="16"/>
              </w:rPr>
              <w:lastRenderedPageBreak/>
              <w:t>Leukocytes , Chemokine (C-X-C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lastRenderedPageBreak/>
              <w:t>Hs00601975_m1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CXCL2</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ligand 2</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 Chemokine (C-X-C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Hs00171061_m1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CXCL3</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ligand 3</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 Chemokine (C-X-C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Hs00605742_g1</w:t>
            </w:r>
          </w:p>
        </w:tc>
        <w:tc>
          <w:tcPr>
            <w:tcW w:w="1275" w:type="dxa"/>
            <w:vAlign w:val="bottom"/>
          </w:tcPr>
          <w:p w:rsidR="00FC0CB8" w:rsidRPr="00742A5C" w:rsidRDefault="00FC0CB8" w:rsidP="003905A2">
            <w:pPr>
              <w:rPr>
                <w:color w:val="000000"/>
                <w:sz w:val="16"/>
                <w:szCs w:val="16"/>
              </w:rPr>
            </w:pPr>
            <w:r w:rsidRPr="00742A5C">
              <w:rPr>
                <w:color w:val="000000"/>
                <w:sz w:val="16"/>
                <w:szCs w:val="16"/>
              </w:rPr>
              <w:t>Chemokine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CXCL6</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ligand 6 (granulocyte chemotactic protein 2)</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 Chemokine (C-X-C motif) Ligands,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Hs00171065_m1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CXCL9</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ligand 9</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 Chemokine (C-X-C motif) Ligands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Hs00174298_m1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CCR1</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receptor 1</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Genes Involved in T-cell Polarization,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Hs00706455_s1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CCR10</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receptor 10</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Chemokine (C-C motif) Receptors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Hs00174150_m1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CCR2</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receptor 2</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Genes Involved in T-cell Polarization, TH2 Cytokines,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Hs00266213_s1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CCR3</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receptor 3</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Genes Involved in T-cell Polarization, TH2 Cytokines,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Hs99999919_m1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CCR4</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receptor 4</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Genes Involved in T-cell Polarization, TH2 Cytokines,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Hs00152917_m1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CCR5</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receptor 5</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Genes Involved in T-cell Polarization, Chemokine (C-C motif) Receptors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Hs00171121_m1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CCR6</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receptor 6</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Chemokine (C-C motif) Receptors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Hs99999080_m1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CCR7</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(C-C motif) receptor 7</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Chemokine (C-C motif) Receptors,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Hs00171041_m1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CXCR3</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receptor 3</w:t>
            </w:r>
          </w:p>
        </w:tc>
        <w:tc>
          <w:tcPr>
            <w:tcW w:w="3685" w:type="dxa"/>
            <w:vAlign w:val="bottom"/>
          </w:tcPr>
          <w:p w:rsidR="00FC0CB8" w:rsidRPr="00742A5C" w:rsidRDefault="00FC0CB8" w:rsidP="003905A2">
            <w:pPr>
              <w:rPr>
                <w:sz w:val="16"/>
                <w:szCs w:val="16"/>
              </w:rPr>
            </w:pPr>
            <w:r w:rsidRPr="00742A5C">
              <w:rPr>
                <w:sz w:val="16"/>
                <w:szCs w:val="16"/>
              </w:rPr>
              <w:t xml:space="preserve">Chemokine Signaling, Transendothelial Migration of Leukocytes, Genes Involved in T-cell Polarization, TH1 Cytokines </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Hs00607978_s1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CXCR4</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receptor 4</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 Genes Involved in T-cell Polarization</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Hs00174843_m1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G-protein coupled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CXCR6</w:t>
            </w:r>
          </w:p>
        </w:tc>
        <w:tc>
          <w:tcPr>
            <w:tcW w:w="2410" w:type="dxa"/>
            <w:vAlign w:val="bottom"/>
          </w:tcPr>
          <w:p w:rsidR="00FC0CB8" w:rsidRPr="00742A5C" w:rsidRDefault="00FC0CB8" w:rsidP="003905A2">
            <w:pPr>
              <w:rPr>
                <w:color w:val="000000"/>
                <w:sz w:val="16"/>
                <w:szCs w:val="16"/>
              </w:rPr>
            </w:pPr>
            <w:r w:rsidRPr="00742A5C">
              <w:rPr>
                <w:color w:val="000000"/>
                <w:sz w:val="16"/>
                <w:szCs w:val="16"/>
              </w:rPr>
              <w:t>chemokine (C-X-C motif) receptor 6</w:t>
            </w:r>
          </w:p>
        </w:tc>
        <w:tc>
          <w:tcPr>
            <w:tcW w:w="3685" w:type="dxa"/>
            <w:vAlign w:val="bottom"/>
          </w:tcPr>
          <w:p w:rsidR="00FC0CB8" w:rsidRPr="00742A5C" w:rsidRDefault="00FC0CB8" w:rsidP="003905A2">
            <w:pPr>
              <w:rPr>
                <w:sz w:val="16"/>
                <w:szCs w:val="16"/>
              </w:rPr>
            </w:pPr>
            <w:r w:rsidRPr="00742A5C">
              <w:rPr>
                <w:sz w:val="16"/>
                <w:szCs w:val="16"/>
              </w:rPr>
              <w:t>Chemokine Signaling, Transendothelial Migration of Leukocytes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Hs01077958_s1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IFNB1</w:t>
            </w:r>
          </w:p>
        </w:tc>
        <w:tc>
          <w:tcPr>
            <w:tcW w:w="2410" w:type="dxa"/>
            <w:vAlign w:val="bottom"/>
          </w:tcPr>
          <w:p w:rsidR="00FC0CB8" w:rsidRPr="00742A5C" w:rsidRDefault="00FC0CB8" w:rsidP="003905A2">
            <w:pPr>
              <w:rPr>
                <w:color w:val="000000"/>
                <w:sz w:val="16"/>
                <w:szCs w:val="16"/>
              </w:rPr>
            </w:pPr>
            <w:r w:rsidRPr="00742A5C">
              <w:rPr>
                <w:color w:val="000000"/>
                <w:sz w:val="16"/>
                <w:szCs w:val="16"/>
              </w:rPr>
              <w:t>interferon, beta 1, fibroblast</w:t>
            </w:r>
          </w:p>
        </w:tc>
        <w:tc>
          <w:tcPr>
            <w:tcW w:w="3685" w:type="dxa"/>
            <w:vAlign w:val="bottom"/>
          </w:tcPr>
          <w:p w:rsidR="00FC0CB8" w:rsidRPr="00742A5C" w:rsidRDefault="00FC0CB8" w:rsidP="003905A2">
            <w:pPr>
              <w:rPr>
                <w:sz w:val="16"/>
                <w:szCs w:val="16"/>
              </w:rPr>
            </w:pPr>
            <w:r w:rsidRPr="00742A5C">
              <w:rPr>
                <w:sz w:val="16"/>
                <w:szCs w:val="16"/>
              </w:rPr>
              <w:t>Cytokine Network, Interferon Pathway, B-cell Proliferation, Regulators of Th1 and Th2 Development</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Hs00174143_m1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IFNG</w:t>
            </w:r>
          </w:p>
        </w:tc>
        <w:tc>
          <w:tcPr>
            <w:tcW w:w="2410" w:type="dxa"/>
            <w:vAlign w:val="bottom"/>
          </w:tcPr>
          <w:p w:rsidR="00FC0CB8" w:rsidRPr="00742A5C" w:rsidRDefault="00FC0CB8" w:rsidP="003905A2">
            <w:pPr>
              <w:rPr>
                <w:color w:val="000000"/>
                <w:sz w:val="16"/>
                <w:szCs w:val="16"/>
              </w:rPr>
            </w:pPr>
            <w:r w:rsidRPr="00742A5C">
              <w:rPr>
                <w:color w:val="000000"/>
                <w:sz w:val="16"/>
                <w:szCs w:val="16"/>
              </w:rPr>
              <w:t>interferon, gamma</w:t>
            </w:r>
          </w:p>
        </w:tc>
        <w:tc>
          <w:tcPr>
            <w:tcW w:w="3685" w:type="dxa"/>
            <w:vAlign w:val="bottom"/>
          </w:tcPr>
          <w:p w:rsidR="00FC0CB8" w:rsidRPr="00742A5C" w:rsidRDefault="00FC0CB8" w:rsidP="003905A2">
            <w:pPr>
              <w:rPr>
                <w:sz w:val="16"/>
                <w:szCs w:val="16"/>
              </w:rPr>
            </w:pPr>
            <w:r w:rsidRPr="00742A5C">
              <w:rPr>
                <w:sz w:val="16"/>
                <w:szCs w:val="16"/>
              </w:rPr>
              <w:t>Cytokine Network, Interferon Pathway, Regulators of Th1 and Th2 Development</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Hs00166223_m1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IFNGR1</w:t>
            </w:r>
          </w:p>
        </w:tc>
        <w:tc>
          <w:tcPr>
            <w:tcW w:w="2410" w:type="dxa"/>
            <w:vAlign w:val="bottom"/>
          </w:tcPr>
          <w:p w:rsidR="00FC0CB8" w:rsidRPr="00742A5C" w:rsidRDefault="00FC0CB8" w:rsidP="003905A2">
            <w:pPr>
              <w:rPr>
                <w:color w:val="000000"/>
                <w:sz w:val="16"/>
                <w:szCs w:val="16"/>
              </w:rPr>
            </w:pPr>
            <w:r w:rsidRPr="00742A5C">
              <w:rPr>
                <w:color w:val="000000"/>
                <w:sz w:val="16"/>
                <w:szCs w:val="16"/>
              </w:rPr>
              <w:t>interferon gamma receptor 1</w:t>
            </w:r>
          </w:p>
        </w:tc>
        <w:tc>
          <w:tcPr>
            <w:tcW w:w="3685" w:type="dxa"/>
            <w:vAlign w:val="bottom"/>
          </w:tcPr>
          <w:p w:rsidR="00FC0CB8" w:rsidRPr="00742A5C" w:rsidRDefault="00FC0CB8" w:rsidP="003905A2">
            <w:pPr>
              <w:rPr>
                <w:sz w:val="16"/>
                <w:szCs w:val="16"/>
              </w:rPr>
            </w:pPr>
            <w:r w:rsidRPr="00742A5C">
              <w:rPr>
                <w:sz w:val="16"/>
                <w:szCs w:val="16"/>
              </w:rPr>
              <w:t>Interferon Pathway, Genes Involved in Th1/Th2 Differentiation</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Hs00194264_m1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 receptor</w:t>
            </w:r>
          </w:p>
        </w:tc>
        <w:tc>
          <w:tcPr>
            <w:tcW w:w="851" w:type="dxa"/>
            <w:vAlign w:val="bottom"/>
          </w:tcPr>
          <w:p w:rsidR="00FC0CB8" w:rsidRPr="00742A5C" w:rsidRDefault="00FC0CB8" w:rsidP="003905A2">
            <w:pPr>
              <w:rPr>
                <w:color w:val="000000"/>
                <w:sz w:val="16"/>
                <w:szCs w:val="16"/>
              </w:rPr>
            </w:pPr>
            <w:r w:rsidRPr="00742A5C">
              <w:rPr>
                <w:color w:val="000000"/>
                <w:sz w:val="16"/>
                <w:szCs w:val="16"/>
              </w:rPr>
              <w:t>IFNGR2</w:t>
            </w:r>
          </w:p>
        </w:tc>
        <w:tc>
          <w:tcPr>
            <w:tcW w:w="2410" w:type="dxa"/>
            <w:vAlign w:val="bottom"/>
          </w:tcPr>
          <w:p w:rsidR="00FC0CB8" w:rsidRPr="00742A5C" w:rsidRDefault="00FC0CB8" w:rsidP="003905A2">
            <w:pPr>
              <w:rPr>
                <w:color w:val="000000"/>
                <w:sz w:val="16"/>
                <w:szCs w:val="16"/>
              </w:rPr>
            </w:pPr>
            <w:r w:rsidRPr="00742A5C">
              <w:rPr>
                <w:color w:val="000000"/>
                <w:sz w:val="16"/>
                <w:szCs w:val="16"/>
              </w:rPr>
              <w:t>interferon gamma receptor 2 (interferon gamma transducer 1)</w:t>
            </w:r>
          </w:p>
        </w:tc>
        <w:tc>
          <w:tcPr>
            <w:tcW w:w="3685" w:type="dxa"/>
            <w:vAlign w:val="bottom"/>
          </w:tcPr>
          <w:p w:rsidR="00FC0CB8" w:rsidRPr="00742A5C" w:rsidRDefault="00FC0CB8" w:rsidP="003905A2">
            <w:pPr>
              <w:rPr>
                <w:sz w:val="16"/>
                <w:szCs w:val="16"/>
              </w:rPr>
            </w:pPr>
            <w:r w:rsidRPr="00742A5C">
              <w:rPr>
                <w:sz w:val="16"/>
                <w:szCs w:val="16"/>
              </w:rPr>
              <w:t>Interferon Pathway, Genes Involved in Th1/Th2 Differentiation</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Hs00241807_m1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BMP1</w:t>
            </w:r>
          </w:p>
        </w:tc>
        <w:tc>
          <w:tcPr>
            <w:tcW w:w="2410" w:type="dxa"/>
            <w:vAlign w:val="bottom"/>
          </w:tcPr>
          <w:p w:rsidR="00FC0CB8" w:rsidRPr="00742A5C" w:rsidRDefault="00FC0CB8" w:rsidP="003905A2">
            <w:pPr>
              <w:rPr>
                <w:color w:val="000000"/>
                <w:sz w:val="16"/>
                <w:szCs w:val="16"/>
              </w:rPr>
            </w:pPr>
            <w:r w:rsidRPr="00742A5C">
              <w:rPr>
                <w:color w:val="000000"/>
                <w:sz w:val="16"/>
                <w:szCs w:val="16"/>
              </w:rPr>
              <w:t>bone morphogenetic protein 1</w:t>
            </w:r>
          </w:p>
        </w:tc>
        <w:tc>
          <w:tcPr>
            <w:tcW w:w="3685" w:type="dxa"/>
            <w:vAlign w:val="bottom"/>
          </w:tcPr>
          <w:p w:rsidR="00FC0CB8" w:rsidRPr="00742A5C" w:rsidRDefault="00FC0CB8" w:rsidP="003905A2">
            <w:pPr>
              <w:rPr>
                <w:sz w:val="16"/>
                <w:szCs w:val="16"/>
              </w:rPr>
            </w:pPr>
            <w:r w:rsidRPr="00742A5C">
              <w:rPr>
                <w:sz w:val="16"/>
                <w:szCs w:val="16"/>
              </w:rPr>
              <w:t>Cellular Apoptosis Pathway, mTOR Pathway, Renin-Angiotensin Pathway,  TGF-Beta Pathway, Other Extracellular Molecules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Hs00154192_m1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BMP2</w:t>
            </w:r>
          </w:p>
        </w:tc>
        <w:tc>
          <w:tcPr>
            <w:tcW w:w="2410" w:type="dxa"/>
            <w:vAlign w:val="bottom"/>
          </w:tcPr>
          <w:p w:rsidR="00FC0CB8" w:rsidRPr="00742A5C" w:rsidRDefault="00FC0CB8" w:rsidP="003905A2">
            <w:pPr>
              <w:rPr>
                <w:color w:val="000000"/>
                <w:sz w:val="16"/>
                <w:szCs w:val="16"/>
              </w:rPr>
            </w:pPr>
            <w:r w:rsidRPr="00742A5C">
              <w:rPr>
                <w:color w:val="000000"/>
                <w:sz w:val="16"/>
                <w:szCs w:val="16"/>
              </w:rPr>
              <w:t>bone morphogenetic protein 2</w:t>
            </w:r>
          </w:p>
        </w:tc>
        <w:tc>
          <w:tcPr>
            <w:tcW w:w="3685" w:type="dxa"/>
            <w:vAlign w:val="bottom"/>
          </w:tcPr>
          <w:p w:rsidR="00FC0CB8" w:rsidRPr="00742A5C" w:rsidRDefault="00FC0CB8" w:rsidP="003905A2">
            <w:pPr>
              <w:rPr>
                <w:sz w:val="16"/>
                <w:szCs w:val="16"/>
              </w:rPr>
            </w:pPr>
            <w:r w:rsidRPr="00742A5C">
              <w:rPr>
                <w:sz w:val="16"/>
                <w:szCs w:val="16"/>
              </w:rPr>
              <w:t>Cellular Apoptosis Pathway, mTOR Pathway, Renin-Angiotensin Pathway,  TGF-Beta Pathway, Other Extracellular Molecules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Hs00370078_m1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BMP4</w:t>
            </w:r>
          </w:p>
        </w:tc>
        <w:tc>
          <w:tcPr>
            <w:tcW w:w="2410" w:type="dxa"/>
            <w:vAlign w:val="bottom"/>
          </w:tcPr>
          <w:p w:rsidR="00FC0CB8" w:rsidRPr="00742A5C" w:rsidRDefault="00FC0CB8" w:rsidP="003905A2">
            <w:pPr>
              <w:rPr>
                <w:color w:val="000000"/>
                <w:sz w:val="16"/>
                <w:szCs w:val="16"/>
              </w:rPr>
            </w:pPr>
            <w:r w:rsidRPr="00742A5C">
              <w:rPr>
                <w:color w:val="000000"/>
                <w:sz w:val="16"/>
                <w:szCs w:val="16"/>
              </w:rPr>
              <w:t>bone morphogenetic protein 4</w:t>
            </w:r>
          </w:p>
        </w:tc>
        <w:tc>
          <w:tcPr>
            <w:tcW w:w="3685" w:type="dxa"/>
            <w:vAlign w:val="bottom"/>
          </w:tcPr>
          <w:p w:rsidR="00FC0CB8" w:rsidRPr="00742A5C" w:rsidRDefault="00FC0CB8" w:rsidP="003905A2">
            <w:pPr>
              <w:rPr>
                <w:sz w:val="16"/>
                <w:szCs w:val="16"/>
              </w:rPr>
            </w:pPr>
            <w:r w:rsidRPr="00742A5C">
              <w:rPr>
                <w:sz w:val="16"/>
                <w:szCs w:val="16"/>
              </w:rPr>
              <w:t>Cellular Apoptosis Pathway, mTOR Pathway, Renin-Angiotensin Pathway,  TGF-Beta Pathway, Embryonic Development</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Hs00234930_m1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BMP5</w:t>
            </w:r>
          </w:p>
        </w:tc>
        <w:tc>
          <w:tcPr>
            <w:tcW w:w="2410" w:type="dxa"/>
            <w:vAlign w:val="bottom"/>
          </w:tcPr>
          <w:p w:rsidR="00FC0CB8" w:rsidRPr="00742A5C" w:rsidRDefault="00FC0CB8" w:rsidP="003905A2">
            <w:pPr>
              <w:rPr>
                <w:color w:val="000000"/>
                <w:sz w:val="16"/>
                <w:szCs w:val="16"/>
              </w:rPr>
            </w:pPr>
            <w:r w:rsidRPr="00742A5C">
              <w:rPr>
                <w:color w:val="000000"/>
                <w:sz w:val="16"/>
                <w:szCs w:val="16"/>
              </w:rPr>
              <w:t>bone morphogenetic protein 5</w:t>
            </w:r>
          </w:p>
        </w:tc>
        <w:tc>
          <w:tcPr>
            <w:tcW w:w="3685" w:type="dxa"/>
            <w:vAlign w:val="bottom"/>
          </w:tcPr>
          <w:p w:rsidR="00FC0CB8" w:rsidRPr="00742A5C" w:rsidRDefault="00FC0CB8" w:rsidP="003905A2">
            <w:pPr>
              <w:rPr>
                <w:sz w:val="16"/>
                <w:szCs w:val="16"/>
              </w:rPr>
            </w:pPr>
            <w:r w:rsidRPr="00742A5C">
              <w:rPr>
                <w:sz w:val="16"/>
                <w:szCs w:val="16"/>
              </w:rPr>
              <w:t>Cellular Apoptosis Pathway, mTOR Pathway, Renin-Angiotensin Pathway,  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Hs00233470_m1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BMP6</w:t>
            </w:r>
          </w:p>
        </w:tc>
        <w:tc>
          <w:tcPr>
            <w:tcW w:w="2410" w:type="dxa"/>
            <w:vAlign w:val="bottom"/>
          </w:tcPr>
          <w:p w:rsidR="00FC0CB8" w:rsidRPr="00742A5C" w:rsidRDefault="00FC0CB8" w:rsidP="003905A2">
            <w:pPr>
              <w:rPr>
                <w:color w:val="000000"/>
                <w:sz w:val="16"/>
                <w:szCs w:val="16"/>
              </w:rPr>
            </w:pPr>
            <w:r w:rsidRPr="00742A5C">
              <w:rPr>
                <w:color w:val="000000"/>
                <w:sz w:val="16"/>
                <w:szCs w:val="16"/>
              </w:rPr>
              <w:t>bone morphogenetic protein 6</w:t>
            </w:r>
          </w:p>
        </w:tc>
        <w:tc>
          <w:tcPr>
            <w:tcW w:w="3685" w:type="dxa"/>
            <w:vAlign w:val="bottom"/>
          </w:tcPr>
          <w:p w:rsidR="00FC0CB8" w:rsidRPr="00742A5C" w:rsidRDefault="00FC0CB8" w:rsidP="003905A2">
            <w:pPr>
              <w:rPr>
                <w:sz w:val="16"/>
                <w:szCs w:val="16"/>
              </w:rPr>
            </w:pPr>
            <w:r w:rsidRPr="00742A5C">
              <w:rPr>
                <w:sz w:val="16"/>
                <w:szCs w:val="16"/>
              </w:rPr>
              <w:t>Cellular Apoptosis Pathway, mTOR Pathway, Renin-Angiotensin Pathway,  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Hs00233477_m1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BMP7</w:t>
            </w:r>
          </w:p>
        </w:tc>
        <w:tc>
          <w:tcPr>
            <w:tcW w:w="2410" w:type="dxa"/>
            <w:vAlign w:val="bottom"/>
          </w:tcPr>
          <w:p w:rsidR="00FC0CB8" w:rsidRPr="00742A5C" w:rsidRDefault="00FC0CB8" w:rsidP="003905A2">
            <w:pPr>
              <w:rPr>
                <w:color w:val="000000"/>
                <w:sz w:val="16"/>
                <w:szCs w:val="16"/>
              </w:rPr>
            </w:pPr>
            <w:r w:rsidRPr="00742A5C">
              <w:rPr>
                <w:color w:val="000000"/>
                <w:sz w:val="16"/>
                <w:szCs w:val="16"/>
              </w:rPr>
              <w:t>bone morphogenetic protein 7</w:t>
            </w:r>
          </w:p>
        </w:tc>
        <w:tc>
          <w:tcPr>
            <w:tcW w:w="3685" w:type="dxa"/>
            <w:vAlign w:val="bottom"/>
          </w:tcPr>
          <w:p w:rsidR="00FC0CB8" w:rsidRPr="00742A5C" w:rsidRDefault="00FC0CB8" w:rsidP="003905A2">
            <w:pPr>
              <w:rPr>
                <w:sz w:val="16"/>
                <w:szCs w:val="16"/>
              </w:rPr>
            </w:pPr>
            <w:r w:rsidRPr="00742A5C">
              <w:rPr>
                <w:sz w:val="16"/>
                <w:szCs w:val="16"/>
              </w:rPr>
              <w:t>Cellular Apoptosis Pathway, mTOR Pathway, Renin-Angiotensin Pathway,  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Hs00167060_m1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GDF5</w:t>
            </w:r>
          </w:p>
        </w:tc>
        <w:tc>
          <w:tcPr>
            <w:tcW w:w="2410" w:type="dxa"/>
            <w:vAlign w:val="bottom"/>
          </w:tcPr>
          <w:p w:rsidR="00FC0CB8" w:rsidRPr="00742A5C" w:rsidRDefault="00FC0CB8" w:rsidP="003905A2">
            <w:pPr>
              <w:rPr>
                <w:color w:val="000000"/>
                <w:sz w:val="16"/>
                <w:szCs w:val="16"/>
              </w:rPr>
            </w:pPr>
            <w:r w:rsidRPr="00742A5C">
              <w:rPr>
                <w:color w:val="000000"/>
                <w:sz w:val="16"/>
                <w:szCs w:val="16"/>
              </w:rPr>
              <w:t>growth differentiation factor 5</w:t>
            </w:r>
          </w:p>
        </w:tc>
        <w:tc>
          <w:tcPr>
            <w:tcW w:w="3685" w:type="dxa"/>
            <w:vAlign w:val="bottom"/>
          </w:tcPr>
          <w:p w:rsidR="00FC0CB8" w:rsidRPr="00742A5C" w:rsidRDefault="00FC0CB8" w:rsidP="003905A2">
            <w:pPr>
              <w:rPr>
                <w:sz w:val="16"/>
                <w:szCs w:val="16"/>
              </w:rPr>
            </w:pPr>
            <w:r w:rsidRPr="00742A5C">
              <w:rPr>
                <w:sz w:val="16"/>
                <w:szCs w:val="16"/>
              </w:rPr>
              <w:t>Cellular Apoptosis Pathway, Renin-Angiotensin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Hs00193364_m1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GDF9</w:t>
            </w:r>
          </w:p>
        </w:tc>
        <w:tc>
          <w:tcPr>
            <w:tcW w:w="2410" w:type="dxa"/>
            <w:vAlign w:val="bottom"/>
          </w:tcPr>
          <w:p w:rsidR="00FC0CB8" w:rsidRPr="00742A5C" w:rsidRDefault="00FC0CB8" w:rsidP="003905A2">
            <w:pPr>
              <w:rPr>
                <w:color w:val="000000"/>
                <w:sz w:val="16"/>
                <w:szCs w:val="16"/>
              </w:rPr>
            </w:pPr>
            <w:r w:rsidRPr="00742A5C">
              <w:rPr>
                <w:color w:val="000000"/>
                <w:sz w:val="16"/>
                <w:szCs w:val="16"/>
              </w:rPr>
              <w:t>growth differentiation factor 9</w:t>
            </w:r>
          </w:p>
        </w:tc>
        <w:tc>
          <w:tcPr>
            <w:tcW w:w="3685" w:type="dxa"/>
            <w:vAlign w:val="bottom"/>
          </w:tcPr>
          <w:p w:rsidR="00FC0CB8" w:rsidRPr="00742A5C" w:rsidRDefault="00FC0CB8" w:rsidP="003905A2">
            <w:pPr>
              <w:rPr>
                <w:sz w:val="16"/>
                <w:szCs w:val="16"/>
              </w:rPr>
            </w:pPr>
            <w:r w:rsidRPr="00742A5C">
              <w:rPr>
                <w:sz w:val="16"/>
                <w:szCs w:val="16"/>
              </w:rPr>
              <w:t>Cellular Apoptosis Pathway, Renin-Angiotensin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Hs00153126</w:t>
            </w:r>
            <w:r w:rsidRPr="00742A5C">
              <w:rPr>
                <w:color w:val="000000"/>
                <w:sz w:val="16"/>
                <w:szCs w:val="16"/>
              </w:rPr>
              <w:lastRenderedPageBreak/>
              <w:t>_m1</w:t>
            </w:r>
          </w:p>
        </w:tc>
        <w:tc>
          <w:tcPr>
            <w:tcW w:w="1275" w:type="dxa"/>
            <w:vAlign w:val="bottom"/>
          </w:tcPr>
          <w:p w:rsidR="00FC0CB8" w:rsidRPr="00742A5C" w:rsidRDefault="00FC0CB8" w:rsidP="003905A2">
            <w:pPr>
              <w:rPr>
                <w:color w:val="000000"/>
                <w:sz w:val="16"/>
                <w:szCs w:val="16"/>
              </w:rPr>
            </w:pPr>
            <w:r w:rsidRPr="00742A5C">
              <w:rPr>
                <w:color w:val="000000"/>
                <w:sz w:val="16"/>
                <w:szCs w:val="16"/>
              </w:rPr>
              <w:lastRenderedPageBreak/>
              <w:t>Growth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IGF1</w:t>
            </w:r>
          </w:p>
        </w:tc>
        <w:tc>
          <w:tcPr>
            <w:tcW w:w="2410" w:type="dxa"/>
            <w:vAlign w:val="bottom"/>
          </w:tcPr>
          <w:p w:rsidR="00FC0CB8" w:rsidRPr="00742A5C" w:rsidRDefault="00FC0CB8" w:rsidP="003905A2">
            <w:pPr>
              <w:rPr>
                <w:color w:val="000000"/>
                <w:sz w:val="16"/>
                <w:szCs w:val="16"/>
              </w:rPr>
            </w:pPr>
            <w:r w:rsidRPr="00742A5C">
              <w:rPr>
                <w:color w:val="000000"/>
                <w:sz w:val="16"/>
                <w:szCs w:val="16"/>
              </w:rPr>
              <w:t xml:space="preserve">insulin-like growth factor 1 </w:t>
            </w:r>
            <w:r w:rsidRPr="00742A5C">
              <w:rPr>
                <w:color w:val="000000"/>
                <w:sz w:val="16"/>
                <w:szCs w:val="16"/>
              </w:rPr>
              <w:lastRenderedPageBreak/>
              <w:t>(somatomedin C)</w:t>
            </w:r>
          </w:p>
        </w:tc>
        <w:tc>
          <w:tcPr>
            <w:tcW w:w="3685" w:type="dxa"/>
            <w:vAlign w:val="bottom"/>
          </w:tcPr>
          <w:p w:rsidR="00FC0CB8" w:rsidRPr="00742A5C" w:rsidRDefault="00FC0CB8" w:rsidP="003905A2">
            <w:pPr>
              <w:rPr>
                <w:sz w:val="16"/>
                <w:szCs w:val="16"/>
              </w:rPr>
            </w:pPr>
            <w:r w:rsidRPr="00742A5C">
              <w:rPr>
                <w:sz w:val="16"/>
                <w:szCs w:val="16"/>
              </w:rPr>
              <w:lastRenderedPageBreak/>
              <w:t xml:space="preserve">Cellular Apoptosis Pathway, Renin-Angiotensin </w:t>
            </w:r>
            <w:r w:rsidRPr="00742A5C">
              <w:rPr>
                <w:sz w:val="16"/>
                <w:szCs w:val="16"/>
              </w:rPr>
              <w:lastRenderedPageBreak/>
              <w:t>Pathway, TGF-b Superfamily Cytokines, Other Extracellular Molecules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lastRenderedPageBreak/>
              <w:t>Hs00171410_m1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Protein/peptide hormone</w:t>
            </w:r>
          </w:p>
        </w:tc>
        <w:tc>
          <w:tcPr>
            <w:tcW w:w="851" w:type="dxa"/>
            <w:vAlign w:val="bottom"/>
          </w:tcPr>
          <w:p w:rsidR="00FC0CB8" w:rsidRPr="00742A5C" w:rsidRDefault="00FC0CB8" w:rsidP="003905A2">
            <w:pPr>
              <w:rPr>
                <w:color w:val="000000"/>
                <w:sz w:val="16"/>
                <w:szCs w:val="16"/>
              </w:rPr>
            </w:pPr>
            <w:r w:rsidRPr="00742A5C">
              <w:rPr>
                <w:color w:val="000000"/>
                <w:sz w:val="16"/>
                <w:szCs w:val="16"/>
              </w:rPr>
              <w:t>INHA</w:t>
            </w:r>
          </w:p>
        </w:tc>
        <w:tc>
          <w:tcPr>
            <w:tcW w:w="2410" w:type="dxa"/>
            <w:vAlign w:val="bottom"/>
          </w:tcPr>
          <w:p w:rsidR="00FC0CB8" w:rsidRPr="00742A5C" w:rsidRDefault="00FC0CB8" w:rsidP="003905A2">
            <w:pPr>
              <w:rPr>
                <w:color w:val="000000"/>
                <w:sz w:val="16"/>
                <w:szCs w:val="16"/>
              </w:rPr>
            </w:pPr>
            <w:r w:rsidRPr="00742A5C">
              <w:rPr>
                <w:color w:val="000000"/>
                <w:sz w:val="16"/>
                <w:szCs w:val="16"/>
              </w:rPr>
              <w:t>inhibin, alpha</w:t>
            </w:r>
          </w:p>
        </w:tc>
        <w:tc>
          <w:tcPr>
            <w:tcW w:w="3685" w:type="dxa"/>
            <w:vAlign w:val="bottom"/>
          </w:tcPr>
          <w:p w:rsidR="00FC0CB8" w:rsidRPr="00742A5C" w:rsidRDefault="00FC0CB8" w:rsidP="003905A2">
            <w:pPr>
              <w:rPr>
                <w:sz w:val="16"/>
                <w:szCs w:val="16"/>
              </w:rPr>
            </w:pPr>
            <w:r w:rsidRPr="00742A5C">
              <w:rPr>
                <w:sz w:val="16"/>
                <w:szCs w:val="16"/>
              </w:rPr>
              <w:t>Macrophage Activation, T-cell Activation, TGF-b Superfamily Cytokines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Hs00170103_m1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INHBA</w:t>
            </w:r>
          </w:p>
        </w:tc>
        <w:tc>
          <w:tcPr>
            <w:tcW w:w="2410" w:type="dxa"/>
            <w:vAlign w:val="bottom"/>
          </w:tcPr>
          <w:p w:rsidR="00FC0CB8" w:rsidRPr="00742A5C" w:rsidRDefault="00FC0CB8" w:rsidP="003905A2">
            <w:pPr>
              <w:rPr>
                <w:color w:val="000000"/>
                <w:sz w:val="16"/>
                <w:szCs w:val="16"/>
              </w:rPr>
            </w:pPr>
            <w:r w:rsidRPr="00742A5C">
              <w:rPr>
                <w:color w:val="000000"/>
                <w:sz w:val="16"/>
                <w:szCs w:val="16"/>
              </w:rPr>
              <w:t>inhibin, beta A</w:t>
            </w:r>
          </w:p>
        </w:tc>
        <w:tc>
          <w:tcPr>
            <w:tcW w:w="3685" w:type="dxa"/>
            <w:vAlign w:val="bottom"/>
          </w:tcPr>
          <w:p w:rsidR="00FC0CB8" w:rsidRPr="00742A5C" w:rsidRDefault="00FC0CB8" w:rsidP="003905A2">
            <w:pPr>
              <w:rPr>
                <w:sz w:val="16"/>
                <w:szCs w:val="16"/>
              </w:rPr>
            </w:pPr>
            <w:r w:rsidRPr="00742A5C">
              <w:rPr>
                <w:sz w:val="16"/>
                <w:szCs w:val="16"/>
              </w:rPr>
              <w:t>Macrophage Activation, T-cell Activation, TGF-b Superfamily Cytokines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Hs00764128_s1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LEFTY1</w:t>
            </w:r>
          </w:p>
        </w:tc>
        <w:tc>
          <w:tcPr>
            <w:tcW w:w="2410" w:type="dxa"/>
            <w:vAlign w:val="bottom"/>
          </w:tcPr>
          <w:p w:rsidR="00FC0CB8" w:rsidRPr="00742A5C" w:rsidRDefault="00FC0CB8" w:rsidP="003905A2">
            <w:pPr>
              <w:rPr>
                <w:color w:val="000000"/>
                <w:sz w:val="16"/>
                <w:szCs w:val="16"/>
              </w:rPr>
            </w:pPr>
            <w:r w:rsidRPr="00742A5C">
              <w:rPr>
                <w:color w:val="000000"/>
                <w:sz w:val="16"/>
                <w:szCs w:val="16"/>
              </w:rPr>
              <w:t>left-right determination factor 1</w:t>
            </w:r>
          </w:p>
        </w:tc>
        <w:tc>
          <w:tcPr>
            <w:tcW w:w="3685" w:type="dxa"/>
            <w:vAlign w:val="bottom"/>
          </w:tcPr>
          <w:p w:rsidR="00FC0CB8" w:rsidRPr="00742A5C" w:rsidRDefault="00FC0CB8" w:rsidP="003905A2">
            <w:pPr>
              <w:rPr>
                <w:sz w:val="16"/>
                <w:szCs w:val="16"/>
              </w:rPr>
            </w:pPr>
            <w:r w:rsidRPr="00742A5C">
              <w:rPr>
                <w:sz w:val="16"/>
                <w:szCs w:val="16"/>
              </w:rPr>
              <w:t>Cellular Apoptosis Pathway, Renin-Angiotensin Pathway, TGF-b Superfamily Cytokines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Hs00386448_m1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Hsp 70 family chaperone</w:t>
            </w:r>
          </w:p>
        </w:tc>
        <w:tc>
          <w:tcPr>
            <w:tcW w:w="851" w:type="dxa"/>
            <w:vAlign w:val="bottom"/>
          </w:tcPr>
          <w:p w:rsidR="00FC0CB8" w:rsidRPr="00742A5C" w:rsidRDefault="00FC0CB8" w:rsidP="003905A2">
            <w:pPr>
              <w:rPr>
                <w:color w:val="000000"/>
                <w:sz w:val="16"/>
                <w:szCs w:val="16"/>
              </w:rPr>
            </w:pPr>
            <w:r w:rsidRPr="00742A5C">
              <w:rPr>
                <w:color w:val="000000"/>
                <w:sz w:val="16"/>
                <w:szCs w:val="16"/>
              </w:rPr>
              <w:t>LTBP1</w:t>
            </w:r>
          </w:p>
        </w:tc>
        <w:tc>
          <w:tcPr>
            <w:tcW w:w="2410" w:type="dxa"/>
            <w:vAlign w:val="bottom"/>
          </w:tcPr>
          <w:p w:rsidR="00FC0CB8" w:rsidRPr="00742A5C" w:rsidRDefault="00FC0CB8" w:rsidP="003905A2">
            <w:pPr>
              <w:rPr>
                <w:color w:val="000000"/>
                <w:sz w:val="16"/>
                <w:szCs w:val="16"/>
              </w:rPr>
            </w:pPr>
            <w:r w:rsidRPr="00742A5C">
              <w:rPr>
                <w:color w:val="000000"/>
                <w:sz w:val="16"/>
                <w:szCs w:val="16"/>
              </w:rPr>
              <w:t>latent transforming growth factor beta binding protein 1</w:t>
            </w:r>
          </w:p>
        </w:tc>
        <w:tc>
          <w:tcPr>
            <w:tcW w:w="3685" w:type="dxa"/>
            <w:vAlign w:val="bottom"/>
          </w:tcPr>
          <w:p w:rsidR="00FC0CB8" w:rsidRPr="00742A5C" w:rsidRDefault="00FC0CB8" w:rsidP="003905A2">
            <w:pPr>
              <w:rPr>
                <w:sz w:val="16"/>
                <w:szCs w:val="16"/>
              </w:rPr>
            </w:pPr>
            <w:r w:rsidRPr="00742A5C">
              <w:rPr>
                <w:sz w:val="16"/>
                <w:szCs w:val="16"/>
              </w:rPr>
              <w:t>Cellular Apoptosis Pathway, Renin-Angiotensin Pathway,  TGF-Beta Pathway, TGF-b Superfamily Cytokines, Extracellular Matrix Structural Constituents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Hs00166367_m1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Hsp 70 family chaperone</w:t>
            </w:r>
          </w:p>
        </w:tc>
        <w:tc>
          <w:tcPr>
            <w:tcW w:w="851" w:type="dxa"/>
            <w:vAlign w:val="bottom"/>
          </w:tcPr>
          <w:p w:rsidR="00FC0CB8" w:rsidRPr="00742A5C" w:rsidRDefault="00FC0CB8" w:rsidP="003905A2">
            <w:pPr>
              <w:rPr>
                <w:color w:val="000000"/>
                <w:sz w:val="16"/>
                <w:szCs w:val="16"/>
              </w:rPr>
            </w:pPr>
            <w:r w:rsidRPr="00742A5C">
              <w:rPr>
                <w:color w:val="000000"/>
                <w:sz w:val="16"/>
                <w:szCs w:val="16"/>
              </w:rPr>
              <w:t>LTBP2</w:t>
            </w:r>
          </w:p>
        </w:tc>
        <w:tc>
          <w:tcPr>
            <w:tcW w:w="2410" w:type="dxa"/>
            <w:vAlign w:val="bottom"/>
          </w:tcPr>
          <w:p w:rsidR="00FC0CB8" w:rsidRPr="00742A5C" w:rsidRDefault="00FC0CB8" w:rsidP="003905A2">
            <w:pPr>
              <w:rPr>
                <w:color w:val="000000"/>
                <w:sz w:val="16"/>
                <w:szCs w:val="16"/>
              </w:rPr>
            </w:pPr>
            <w:r w:rsidRPr="00742A5C">
              <w:rPr>
                <w:color w:val="000000"/>
                <w:sz w:val="16"/>
                <w:szCs w:val="16"/>
              </w:rPr>
              <w:t>latent transforming growth factor beta binding protein 2</w:t>
            </w:r>
          </w:p>
        </w:tc>
        <w:tc>
          <w:tcPr>
            <w:tcW w:w="3685" w:type="dxa"/>
            <w:vAlign w:val="bottom"/>
          </w:tcPr>
          <w:p w:rsidR="00FC0CB8" w:rsidRPr="00742A5C" w:rsidRDefault="00FC0CB8" w:rsidP="003905A2">
            <w:pPr>
              <w:rPr>
                <w:sz w:val="16"/>
                <w:szCs w:val="16"/>
              </w:rPr>
            </w:pPr>
            <w:r w:rsidRPr="00742A5C">
              <w:rPr>
                <w:sz w:val="16"/>
                <w:szCs w:val="16"/>
              </w:rPr>
              <w:t>Cellular Apoptosis Pathway, Renin-Angiotensin Pathway,  TGF-Beta Pathway, TGF-b Superfamily Cytokines, Extracellular Matrix Structural Constituents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Hs00186025_m1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Hsp 70 family chaperone</w:t>
            </w:r>
          </w:p>
        </w:tc>
        <w:tc>
          <w:tcPr>
            <w:tcW w:w="851" w:type="dxa"/>
            <w:vAlign w:val="bottom"/>
          </w:tcPr>
          <w:p w:rsidR="00FC0CB8" w:rsidRPr="00742A5C" w:rsidRDefault="00FC0CB8" w:rsidP="003905A2">
            <w:pPr>
              <w:rPr>
                <w:color w:val="000000"/>
                <w:sz w:val="16"/>
                <w:szCs w:val="16"/>
              </w:rPr>
            </w:pPr>
            <w:r w:rsidRPr="00742A5C">
              <w:rPr>
                <w:color w:val="000000"/>
                <w:sz w:val="16"/>
                <w:szCs w:val="16"/>
              </w:rPr>
              <w:t>LTBP4</w:t>
            </w:r>
          </w:p>
        </w:tc>
        <w:tc>
          <w:tcPr>
            <w:tcW w:w="2410" w:type="dxa"/>
            <w:vAlign w:val="bottom"/>
          </w:tcPr>
          <w:p w:rsidR="00FC0CB8" w:rsidRPr="00742A5C" w:rsidRDefault="00FC0CB8" w:rsidP="003905A2">
            <w:pPr>
              <w:rPr>
                <w:color w:val="000000"/>
                <w:sz w:val="16"/>
                <w:szCs w:val="16"/>
              </w:rPr>
            </w:pPr>
            <w:r w:rsidRPr="00742A5C">
              <w:rPr>
                <w:color w:val="000000"/>
                <w:sz w:val="16"/>
                <w:szCs w:val="16"/>
              </w:rPr>
              <w:t>latent transforming growth factor beta binding protein 4</w:t>
            </w:r>
          </w:p>
        </w:tc>
        <w:tc>
          <w:tcPr>
            <w:tcW w:w="3685" w:type="dxa"/>
            <w:vAlign w:val="bottom"/>
          </w:tcPr>
          <w:p w:rsidR="00FC0CB8" w:rsidRPr="00742A5C" w:rsidRDefault="00FC0CB8" w:rsidP="003905A2">
            <w:pPr>
              <w:rPr>
                <w:sz w:val="16"/>
                <w:szCs w:val="16"/>
              </w:rPr>
            </w:pPr>
            <w:r w:rsidRPr="00742A5C">
              <w:rPr>
                <w:sz w:val="16"/>
                <w:szCs w:val="16"/>
              </w:rPr>
              <w:t>Cellular Apoptosis Pathway, Renin-Angiotensin Pathway,  TGF-Beta Pathway, TGF-b Superfamily Cytokines, Extracellular Matrix Structural Constituents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Hs00234042_m1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Growth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PDGFB</w:t>
            </w:r>
          </w:p>
        </w:tc>
        <w:tc>
          <w:tcPr>
            <w:tcW w:w="2410" w:type="dxa"/>
            <w:vAlign w:val="bottom"/>
          </w:tcPr>
          <w:p w:rsidR="00FC0CB8" w:rsidRPr="00742A5C" w:rsidRDefault="00FC0CB8" w:rsidP="003905A2">
            <w:pPr>
              <w:rPr>
                <w:color w:val="000000"/>
                <w:sz w:val="16"/>
                <w:szCs w:val="16"/>
              </w:rPr>
            </w:pPr>
            <w:r w:rsidRPr="00742A5C">
              <w:rPr>
                <w:color w:val="000000"/>
                <w:sz w:val="16"/>
                <w:szCs w:val="16"/>
              </w:rPr>
              <w:t>platelet-derived growth factor beta polypeptide (simian sarcoma viral (v-sis) oncogene homolog)</w:t>
            </w:r>
          </w:p>
        </w:tc>
        <w:tc>
          <w:tcPr>
            <w:tcW w:w="3685" w:type="dxa"/>
            <w:vAlign w:val="bottom"/>
          </w:tcPr>
          <w:p w:rsidR="00FC0CB8" w:rsidRPr="00742A5C" w:rsidRDefault="00FC0CB8" w:rsidP="003905A2">
            <w:pPr>
              <w:rPr>
                <w:sz w:val="16"/>
                <w:szCs w:val="16"/>
              </w:rPr>
            </w:pPr>
            <w:r w:rsidRPr="00742A5C">
              <w:rPr>
                <w:sz w:val="16"/>
                <w:szCs w:val="16"/>
              </w:rPr>
              <w:t>Cellular Apoptosis Pathway, Renin-Angiotensin Pathway, TGF-b Superfamily Cytokines, Other Extracellular Molecules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Hs99999918_m1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TGFB1</w:t>
            </w:r>
          </w:p>
        </w:tc>
        <w:tc>
          <w:tcPr>
            <w:tcW w:w="2410" w:type="dxa"/>
            <w:vAlign w:val="bottom"/>
          </w:tcPr>
          <w:p w:rsidR="00FC0CB8" w:rsidRPr="00742A5C" w:rsidRDefault="00FC0CB8" w:rsidP="003905A2">
            <w:pPr>
              <w:rPr>
                <w:color w:val="000000"/>
                <w:sz w:val="16"/>
                <w:szCs w:val="16"/>
              </w:rPr>
            </w:pPr>
            <w:r w:rsidRPr="00742A5C">
              <w:rPr>
                <w:color w:val="000000"/>
                <w:sz w:val="16"/>
                <w:szCs w:val="16"/>
              </w:rPr>
              <w:t>transforming growth factor, beta 1</w:t>
            </w:r>
          </w:p>
        </w:tc>
        <w:tc>
          <w:tcPr>
            <w:tcW w:w="3685" w:type="dxa"/>
            <w:vAlign w:val="bottom"/>
          </w:tcPr>
          <w:p w:rsidR="00FC0CB8" w:rsidRPr="00742A5C" w:rsidRDefault="00FC0CB8" w:rsidP="003905A2">
            <w:pPr>
              <w:rPr>
                <w:sz w:val="16"/>
                <w:szCs w:val="16"/>
              </w:rPr>
            </w:pPr>
            <w:r w:rsidRPr="00742A5C">
              <w:rPr>
                <w:sz w:val="16"/>
                <w:szCs w:val="16"/>
              </w:rPr>
              <w:t>Cellular Apoptosis Pathway, IL-2 Gene Expression in Activated and Quiescent T-Cells, Renin-Angiotensin Pathway,  TGF-Beta Pathway, Genes Involved in T-cell Polarization</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Hs00234244_m1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TGFB2</w:t>
            </w:r>
          </w:p>
        </w:tc>
        <w:tc>
          <w:tcPr>
            <w:tcW w:w="2410" w:type="dxa"/>
            <w:vAlign w:val="bottom"/>
          </w:tcPr>
          <w:p w:rsidR="00FC0CB8" w:rsidRPr="00742A5C" w:rsidRDefault="00FC0CB8" w:rsidP="003905A2">
            <w:pPr>
              <w:rPr>
                <w:color w:val="000000"/>
                <w:sz w:val="16"/>
                <w:szCs w:val="16"/>
              </w:rPr>
            </w:pPr>
            <w:r w:rsidRPr="00742A5C">
              <w:rPr>
                <w:color w:val="000000"/>
                <w:sz w:val="16"/>
                <w:szCs w:val="16"/>
              </w:rPr>
              <w:t>transforming growth factor, beta 2</w:t>
            </w:r>
          </w:p>
        </w:tc>
        <w:tc>
          <w:tcPr>
            <w:tcW w:w="3685" w:type="dxa"/>
            <w:vAlign w:val="bottom"/>
          </w:tcPr>
          <w:p w:rsidR="00FC0CB8" w:rsidRPr="00742A5C" w:rsidRDefault="00FC0CB8" w:rsidP="003905A2">
            <w:pPr>
              <w:rPr>
                <w:sz w:val="16"/>
                <w:szCs w:val="16"/>
              </w:rPr>
            </w:pPr>
            <w:r w:rsidRPr="00742A5C">
              <w:rPr>
                <w:sz w:val="16"/>
                <w:szCs w:val="16"/>
              </w:rPr>
              <w:t>Cellular Apoptosis Pathway, IL-2 Gene Expression in Activated and Quiescent T-Cells, Renin-Angiotensin Pathway,  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Hs00234245_m1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TGFB3</w:t>
            </w:r>
          </w:p>
        </w:tc>
        <w:tc>
          <w:tcPr>
            <w:tcW w:w="2410" w:type="dxa"/>
            <w:vAlign w:val="bottom"/>
          </w:tcPr>
          <w:p w:rsidR="00FC0CB8" w:rsidRPr="00742A5C" w:rsidRDefault="00FC0CB8" w:rsidP="003905A2">
            <w:pPr>
              <w:rPr>
                <w:color w:val="000000"/>
                <w:sz w:val="16"/>
                <w:szCs w:val="16"/>
              </w:rPr>
            </w:pPr>
            <w:r w:rsidRPr="00742A5C">
              <w:rPr>
                <w:color w:val="000000"/>
                <w:sz w:val="16"/>
                <w:szCs w:val="16"/>
              </w:rPr>
              <w:t>transforming growth factor, beta 3</w:t>
            </w:r>
          </w:p>
        </w:tc>
        <w:tc>
          <w:tcPr>
            <w:tcW w:w="3685" w:type="dxa"/>
            <w:vAlign w:val="bottom"/>
          </w:tcPr>
          <w:p w:rsidR="00FC0CB8" w:rsidRPr="00742A5C" w:rsidRDefault="00FC0CB8" w:rsidP="003905A2">
            <w:pPr>
              <w:rPr>
                <w:sz w:val="16"/>
                <w:szCs w:val="16"/>
              </w:rPr>
            </w:pPr>
            <w:r w:rsidRPr="00742A5C">
              <w:rPr>
                <w:sz w:val="16"/>
                <w:szCs w:val="16"/>
              </w:rPr>
              <w:t>Cellular Apoptosis Pathway, Renin-Angiotensin Pathway,  TGF-Beta Pathway, CD4+T Cell Marker</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Hs00170630_m1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FOS</w:t>
            </w:r>
          </w:p>
        </w:tc>
        <w:tc>
          <w:tcPr>
            <w:tcW w:w="2410" w:type="dxa"/>
            <w:vAlign w:val="bottom"/>
          </w:tcPr>
          <w:p w:rsidR="00FC0CB8" w:rsidRPr="00742A5C" w:rsidRDefault="00FC0CB8" w:rsidP="003905A2">
            <w:pPr>
              <w:rPr>
                <w:color w:val="000000"/>
                <w:sz w:val="16"/>
                <w:szCs w:val="16"/>
              </w:rPr>
            </w:pPr>
            <w:r w:rsidRPr="00742A5C">
              <w:rPr>
                <w:color w:val="000000"/>
                <w:sz w:val="16"/>
                <w:szCs w:val="16"/>
              </w:rPr>
              <w:t>v-fos FBJ murine osteosarcoma viral oncogene homolog</w:t>
            </w:r>
          </w:p>
        </w:tc>
        <w:tc>
          <w:tcPr>
            <w:tcW w:w="3685" w:type="dxa"/>
            <w:vAlign w:val="bottom"/>
          </w:tcPr>
          <w:p w:rsidR="00FC0CB8" w:rsidRPr="00742A5C" w:rsidRDefault="00FC0CB8" w:rsidP="003905A2">
            <w:pPr>
              <w:rPr>
                <w:sz w:val="16"/>
                <w:szCs w:val="16"/>
              </w:rPr>
            </w:pPr>
            <w:r w:rsidRPr="00742A5C">
              <w:rPr>
                <w:sz w:val="16"/>
                <w:szCs w:val="16"/>
              </w:rPr>
              <w:t>Chemokine Signaling, Renin-Angiotensin Pathway,  TGF-Beta Pathway, TNF Superfamily Pathway, Inflammatory Response, SMAD Target Genes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Hs00174131_m1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IL6</w:t>
            </w:r>
          </w:p>
        </w:tc>
        <w:tc>
          <w:tcPr>
            <w:tcW w:w="2410" w:type="dxa"/>
            <w:vAlign w:val="bottom"/>
          </w:tcPr>
          <w:p w:rsidR="00FC0CB8" w:rsidRPr="00742A5C" w:rsidRDefault="00FC0CB8" w:rsidP="003905A2">
            <w:pPr>
              <w:rPr>
                <w:color w:val="000000"/>
                <w:sz w:val="16"/>
                <w:szCs w:val="16"/>
              </w:rPr>
            </w:pPr>
            <w:r w:rsidRPr="00742A5C">
              <w:rPr>
                <w:color w:val="000000"/>
                <w:sz w:val="16"/>
                <w:szCs w:val="16"/>
              </w:rPr>
              <w:t>interleukin 6 (interferon, beta 2)</w:t>
            </w:r>
          </w:p>
        </w:tc>
        <w:tc>
          <w:tcPr>
            <w:tcW w:w="3685" w:type="dxa"/>
            <w:vAlign w:val="bottom"/>
          </w:tcPr>
          <w:p w:rsidR="00FC0CB8" w:rsidRPr="00742A5C" w:rsidRDefault="00FC0CB8" w:rsidP="003905A2">
            <w:pPr>
              <w:rPr>
                <w:sz w:val="16"/>
                <w:szCs w:val="16"/>
              </w:rPr>
            </w:pPr>
            <w:r w:rsidRPr="00742A5C">
              <w:rPr>
                <w:sz w:val="16"/>
                <w:szCs w:val="16"/>
              </w:rPr>
              <w:t>Cellular Apoptosis Pathway, Cytokine Network, Interferon Pathway, Renin-Angiotensin Pathway,  TGF-Beta Pathway, CD4+T Cell Marker</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Hs00164004_m1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Protein kinase</w:t>
            </w:r>
          </w:p>
        </w:tc>
        <w:tc>
          <w:tcPr>
            <w:tcW w:w="851" w:type="dxa"/>
            <w:vAlign w:val="bottom"/>
          </w:tcPr>
          <w:p w:rsidR="00FC0CB8" w:rsidRPr="00742A5C" w:rsidRDefault="00FC0CB8" w:rsidP="003905A2">
            <w:pPr>
              <w:rPr>
                <w:color w:val="000000"/>
                <w:sz w:val="16"/>
                <w:szCs w:val="16"/>
              </w:rPr>
            </w:pPr>
            <w:r w:rsidRPr="00742A5C">
              <w:rPr>
                <w:color w:val="000000"/>
                <w:sz w:val="16"/>
                <w:szCs w:val="16"/>
              </w:rPr>
              <w:t>COL1A1</w:t>
            </w:r>
          </w:p>
        </w:tc>
        <w:tc>
          <w:tcPr>
            <w:tcW w:w="2410" w:type="dxa"/>
            <w:vAlign w:val="bottom"/>
          </w:tcPr>
          <w:p w:rsidR="00FC0CB8" w:rsidRPr="00742A5C" w:rsidRDefault="00FC0CB8" w:rsidP="003905A2">
            <w:pPr>
              <w:rPr>
                <w:color w:val="000000"/>
                <w:sz w:val="16"/>
                <w:szCs w:val="16"/>
              </w:rPr>
            </w:pPr>
            <w:r w:rsidRPr="00742A5C">
              <w:rPr>
                <w:color w:val="000000"/>
                <w:sz w:val="16"/>
                <w:szCs w:val="16"/>
              </w:rPr>
              <w:t>collagen, type I, alpha 1</w:t>
            </w:r>
          </w:p>
        </w:tc>
        <w:tc>
          <w:tcPr>
            <w:tcW w:w="3685" w:type="dxa"/>
            <w:vAlign w:val="bottom"/>
          </w:tcPr>
          <w:p w:rsidR="00FC0CB8" w:rsidRPr="00742A5C" w:rsidRDefault="00FC0CB8" w:rsidP="003905A2">
            <w:pPr>
              <w:rPr>
                <w:sz w:val="16"/>
                <w:szCs w:val="16"/>
              </w:rPr>
            </w:pPr>
            <w:r w:rsidRPr="00742A5C">
              <w:rPr>
                <w:sz w:val="16"/>
                <w:szCs w:val="16"/>
              </w:rPr>
              <w:t>Transendothelial Migration of Leukocytes, SMAD Target Genes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Hs00164099_m1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Protein kinase</w:t>
            </w:r>
          </w:p>
        </w:tc>
        <w:tc>
          <w:tcPr>
            <w:tcW w:w="851" w:type="dxa"/>
            <w:vAlign w:val="bottom"/>
          </w:tcPr>
          <w:p w:rsidR="00FC0CB8" w:rsidRPr="00742A5C" w:rsidRDefault="00FC0CB8" w:rsidP="003905A2">
            <w:pPr>
              <w:rPr>
                <w:color w:val="000000"/>
                <w:sz w:val="16"/>
                <w:szCs w:val="16"/>
              </w:rPr>
            </w:pPr>
            <w:r w:rsidRPr="00742A5C">
              <w:rPr>
                <w:color w:val="000000"/>
                <w:sz w:val="16"/>
                <w:szCs w:val="16"/>
              </w:rPr>
              <w:t>COL1A2</w:t>
            </w:r>
          </w:p>
        </w:tc>
        <w:tc>
          <w:tcPr>
            <w:tcW w:w="2410" w:type="dxa"/>
            <w:vAlign w:val="bottom"/>
          </w:tcPr>
          <w:p w:rsidR="00FC0CB8" w:rsidRPr="00742A5C" w:rsidRDefault="00FC0CB8" w:rsidP="003905A2">
            <w:pPr>
              <w:rPr>
                <w:color w:val="000000"/>
                <w:sz w:val="16"/>
                <w:szCs w:val="16"/>
              </w:rPr>
            </w:pPr>
            <w:r w:rsidRPr="00742A5C">
              <w:rPr>
                <w:color w:val="000000"/>
                <w:sz w:val="16"/>
                <w:szCs w:val="16"/>
              </w:rPr>
              <w:t>collagen, type I, alpha 2</w:t>
            </w:r>
          </w:p>
        </w:tc>
        <w:tc>
          <w:tcPr>
            <w:tcW w:w="3685" w:type="dxa"/>
            <w:vAlign w:val="bottom"/>
          </w:tcPr>
          <w:p w:rsidR="00FC0CB8" w:rsidRPr="00742A5C" w:rsidRDefault="00FC0CB8" w:rsidP="003905A2">
            <w:pPr>
              <w:rPr>
                <w:sz w:val="16"/>
                <w:szCs w:val="16"/>
              </w:rPr>
            </w:pPr>
            <w:r w:rsidRPr="00742A5C">
              <w:rPr>
                <w:sz w:val="16"/>
                <w:szCs w:val="16"/>
              </w:rPr>
              <w:t>Transendothelial Migration of Leukocytes, SMAD Target Genes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Hs00164103_m1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Protein kinase</w:t>
            </w:r>
          </w:p>
        </w:tc>
        <w:tc>
          <w:tcPr>
            <w:tcW w:w="851" w:type="dxa"/>
            <w:vAlign w:val="bottom"/>
          </w:tcPr>
          <w:p w:rsidR="00FC0CB8" w:rsidRPr="00742A5C" w:rsidRDefault="00FC0CB8" w:rsidP="003905A2">
            <w:pPr>
              <w:rPr>
                <w:color w:val="000000"/>
                <w:sz w:val="16"/>
                <w:szCs w:val="16"/>
              </w:rPr>
            </w:pPr>
            <w:r w:rsidRPr="00742A5C">
              <w:rPr>
                <w:color w:val="000000"/>
                <w:sz w:val="16"/>
                <w:szCs w:val="16"/>
              </w:rPr>
              <w:t>COL3A1</w:t>
            </w:r>
          </w:p>
        </w:tc>
        <w:tc>
          <w:tcPr>
            <w:tcW w:w="2410" w:type="dxa"/>
            <w:vAlign w:val="bottom"/>
          </w:tcPr>
          <w:p w:rsidR="00FC0CB8" w:rsidRPr="00742A5C" w:rsidRDefault="00FC0CB8" w:rsidP="003905A2">
            <w:pPr>
              <w:rPr>
                <w:color w:val="000000"/>
                <w:sz w:val="16"/>
                <w:szCs w:val="16"/>
              </w:rPr>
            </w:pPr>
            <w:r w:rsidRPr="00742A5C">
              <w:rPr>
                <w:color w:val="000000"/>
                <w:sz w:val="16"/>
                <w:szCs w:val="16"/>
              </w:rPr>
              <w:t>collagen, type III, alpha 1</w:t>
            </w:r>
          </w:p>
        </w:tc>
        <w:tc>
          <w:tcPr>
            <w:tcW w:w="3685" w:type="dxa"/>
            <w:vAlign w:val="bottom"/>
          </w:tcPr>
          <w:p w:rsidR="00FC0CB8" w:rsidRPr="00742A5C" w:rsidRDefault="00FC0CB8" w:rsidP="003905A2">
            <w:pPr>
              <w:rPr>
                <w:sz w:val="16"/>
                <w:szCs w:val="16"/>
              </w:rPr>
            </w:pPr>
            <w:r w:rsidRPr="00742A5C">
              <w:rPr>
                <w:sz w:val="16"/>
                <w:szCs w:val="16"/>
              </w:rPr>
              <w:t>Transendothelial Migration of Leukocytes, SMAD Target Genes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Hs01103582_s1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JUN</w:t>
            </w:r>
          </w:p>
        </w:tc>
        <w:tc>
          <w:tcPr>
            <w:tcW w:w="2410" w:type="dxa"/>
            <w:vAlign w:val="bottom"/>
          </w:tcPr>
          <w:p w:rsidR="00FC0CB8" w:rsidRPr="00742A5C" w:rsidRDefault="00FC0CB8" w:rsidP="003905A2">
            <w:pPr>
              <w:rPr>
                <w:color w:val="000000"/>
                <w:sz w:val="16"/>
                <w:szCs w:val="16"/>
              </w:rPr>
            </w:pPr>
            <w:r w:rsidRPr="00742A5C">
              <w:rPr>
                <w:color w:val="000000"/>
                <w:sz w:val="16"/>
                <w:szCs w:val="16"/>
              </w:rPr>
              <w:t>jun oncogene</w:t>
            </w:r>
          </w:p>
        </w:tc>
        <w:tc>
          <w:tcPr>
            <w:tcW w:w="3685" w:type="dxa"/>
            <w:vAlign w:val="bottom"/>
          </w:tcPr>
          <w:p w:rsidR="00FC0CB8" w:rsidRPr="00742A5C" w:rsidRDefault="00FC0CB8" w:rsidP="003905A2">
            <w:pPr>
              <w:rPr>
                <w:sz w:val="16"/>
                <w:szCs w:val="16"/>
              </w:rPr>
            </w:pPr>
            <w:r w:rsidRPr="00742A5C">
              <w:rPr>
                <w:sz w:val="16"/>
                <w:szCs w:val="16"/>
              </w:rPr>
              <w:t>Chemokine Signaling, Interferon Pathway, Renin-Angiotensin Pathway,  TGF-Beta Pathway, TNF Superfamily Pathway, SMAD Target Genes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Hs00357891_s1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JUNB</w:t>
            </w:r>
          </w:p>
        </w:tc>
        <w:tc>
          <w:tcPr>
            <w:tcW w:w="2410" w:type="dxa"/>
            <w:vAlign w:val="bottom"/>
          </w:tcPr>
          <w:p w:rsidR="00FC0CB8" w:rsidRPr="00742A5C" w:rsidRDefault="00FC0CB8" w:rsidP="003905A2">
            <w:pPr>
              <w:rPr>
                <w:color w:val="000000"/>
                <w:sz w:val="16"/>
                <w:szCs w:val="16"/>
              </w:rPr>
            </w:pPr>
            <w:r w:rsidRPr="00742A5C">
              <w:rPr>
                <w:color w:val="000000"/>
                <w:sz w:val="16"/>
                <w:szCs w:val="16"/>
              </w:rPr>
              <w:t>jun B proto-oncogene</w:t>
            </w:r>
          </w:p>
        </w:tc>
        <w:tc>
          <w:tcPr>
            <w:tcW w:w="3685" w:type="dxa"/>
            <w:vAlign w:val="bottom"/>
          </w:tcPr>
          <w:p w:rsidR="00FC0CB8" w:rsidRPr="00742A5C" w:rsidRDefault="00FC0CB8" w:rsidP="003905A2">
            <w:pPr>
              <w:rPr>
                <w:sz w:val="16"/>
                <w:szCs w:val="16"/>
              </w:rPr>
            </w:pPr>
            <w:r w:rsidRPr="00742A5C">
              <w:rPr>
                <w:sz w:val="16"/>
                <w:szCs w:val="16"/>
              </w:rPr>
              <w:t>Interferon Pathway, SMAD Target Genes, Other Transcription Factors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Hs00195432_m1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SMAD1</w:t>
            </w:r>
          </w:p>
        </w:tc>
        <w:tc>
          <w:tcPr>
            <w:tcW w:w="2410" w:type="dxa"/>
            <w:vAlign w:val="bottom"/>
          </w:tcPr>
          <w:p w:rsidR="00FC0CB8" w:rsidRPr="00742A5C" w:rsidRDefault="00FC0CB8" w:rsidP="003905A2">
            <w:pPr>
              <w:rPr>
                <w:color w:val="000000"/>
                <w:sz w:val="16"/>
                <w:szCs w:val="16"/>
              </w:rPr>
            </w:pPr>
            <w:r w:rsidRPr="00742A5C">
              <w:rPr>
                <w:color w:val="000000"/>
                <w:sz w:val="16"/>
                <w:szCs w:val="16"/>
              </w:rPr>
              <w:t>SMAD family member 1</w:t>
            </w:r>
          </w:p>
        </w:tc>
        <w:tc>
          <w:tcPr>
            <w:tcW w:w="3685" w:type="dxa"/>
            <w:vAlign w:val="bottom"/>
          </w:tcPr>
          <w:p w:rsidR="00FC0CB8" w:rsidRPr="00742A5C" w:rsidRDefault="00FC0CB8" w:rsidP="003905A2">
            <w:pPr>
              <w:rPr>
                <w:sz w:val="16"/>
                <w:szCs w:val="16"/>
              </w:rPr>
            </w:pPr>
            <w:r w:rsidRPr="00742A5C">
              <w:rPr>
                <w:sz w:val="16"/>
                <w:szCs w:val="16"/>
              </w:rPr>
              <w:t>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Hs00183425_m1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SMAD2</w:t>
            </w:r>
          </w:p>
        </w:tc>
        <w:tc>
          <w:tcPr>
            <w:tcW w:w="2410" w:type="dxa"/>
            <w:vAlign w:val="bottom"/>
          </w:tcPr>
          <w:p w:rsidR="00FC0CB8" w:rsidRPr="00742A5C" w:rsidRDefault="00FC0CB8" w:rsidP="003905A2">
            <w:pPr>
              <w:rPr>
                <w:color w:val="000000"/>
                <w:sz w:val="16"/>
                <w:szCs w:val="16"/>
              </w:rPr>
            </w:pPr>
            <w:r w:rsidRPr="00742A5C">
              <w:rPr>
                <w:color w:val="000000"/>
                <w:sz w:val="16"/>
                <w:szCs w:val="16"/>
              </w:rPr>
              <w:t>SMAD family member 2</w:t>
            </w:r>
          </w:p>
        </w:tc>
        <w:tc>
          <w:tcPr>
            <w:tcW w:w="3685" w:type="dxa"/>
            <w:vAlign w:val="bottom"/>
          </w:tcPr>
          <w:p w:rsidR="00FC0CB8" w:rsidRPr="00742A5C" w:rsidRDefault="00FC0CB8" w:rsidP="003905A2">
            <w:pPr>
              <w:rPr>
                <w:sz w:val="16"/>
                <w:szCs w:val="16"/>
              </w:rPr>
            </w:pPr>
            <w:r w:rsidRPr="00742A5C">
              <w:rPr>
                <w:sz w:val="16"/>
                <w:szCs w:val="16"/>
              </w:rPr>
              <w:t>IL-2 Gene Expression in Activated and Quiescent T-Cells, 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Hs00232222_m1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SMAD3</w:t>
            </w:r>
          </w:p>
        </w:tc>
        <w:tc>
          <w:tcPr>
            <w:tcW w:w="2410" w:type="dxa"/>
            <w:vAlign w:val="bottom"/>
          </w:tcPr>
          <w:p w:rsidR="00FC0CB8" w:rsidRPr="00742A5C" w:rsidRDefault="00FC0CB8" w:rsidP="003905A2">
            <w:pPr>
              <w:rPr>
                <w:color w:val="000000"/>
                <w:sz w:val="16"/>
                <w:szCs w:val="16"/>
              </w:rPr>
            </w:pPr>
            <w:r w:rsidRPr="00742A5C">
              <w:rPr>
                <w:color w:val="000000"/>
                <w:sz w:val="16"/>
                <w:szCs w:val="16"/>
              </w:rPr>
              <w:t>SMAD family member 3</w:t>
            </w:r>
          </w:p>
        </w:tc>
        <w:tc>
          <w:tcPr>
            <w:tcW w:w="3685" w:type="dxa"/>
            <w:vAlign w:val="bottom"/>
          </w:tcPr>
          <w:p w:rsidR="00FC0CB8" w:rsidRPr="00742A5C" w:rsidRDefault="00FC0CB8" w:rsidP="003905A2">
            <w:pPr>
              <w:rPr>
                <w:sz w:val="16"/>
                <w:szCs w:val="16"/>
              </w:rPr>
            </w:pPr>
            <w:r w:rsidRPr="00742A5C">
              <w:rPr>
                <w:sz w:val="16"/>
                <w:szCs w:val="16"/>
              </w:rPr>
              <w:t>IL-2 Gene Expression in Activated and Quiescent T-Cells, 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Hs00232068_m1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SMAD4</w:t>
            </w:r>
          </w:p>
        </w:tc>
        <w:tc>
          <w:tcPr>
            <w:tcW w:w="2410" w:type="dxa"/>
            <w:vAlign w:val="bottom"/>
          </w:tcPr>
          <w:p w:rsidR="00FC0CB8" w:rsidRPr="00742A5C" w:rsidRDefault="00FC0CB8" w:rsidP="003905A2">
            <w:pPr>
              <w:rPr>
                <w:color w:val="000000"/>
                <w:sz w:val="16"/>
                <w:szCs w:val="16"/>
              </w:rPr>
            </w:pPr>
            <w:r w:rsidRPr="00742A5C">
              <w:rPr>
                <w:color w:val="000000"/>
                <w:sz w:val="16"/>
                <w:szCs w:val="16"/>
              </w:rPr>
              <w:t>SMAD family member 4</w:t>
            </w:r>
          </w:p>
        </w:tc>
        <w:tc>
          <w:tcPr>
            <w:tcW w:w="3685" w:type="dxa"/>
            <w:vAlign w:val="bottom"/>
          </w:tcPr>
          <w:p w:rsidR="00FC0CB8" w:rsidRPr="00742A5C" w:rsidRDefault="00FC0CB8" w:rsidP="003905A2">
            <w:pPr>
              <w:rPr>
                <w:sz w:val="16"/>
                <w:szCs w:val="16"/>
              </w:rPr>
            </w:pPr>
            <w:r w:rsidRPr="00742A5C">
              <w:rPr>
                <w:sz w:val="16"/>
                <w:szCs w:val="16"/>
              </w:rPr>
              <w:t>IL-2 Gene Expression in Activated and Quiescent T-Cells, 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Hs00195437_m1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SMAD5</w:t>
            </w:r>
          </w:p>
        </w:tc>
        <w:tc>
          <w:tcPr>
            <w:tcW w:w="2410" w:type="dxa"/>
            <w:vAlign w:val="bottom"/>
          </w:tcPr>
          <w:p w:rsidR="00FC0CB8" w:rsidRPr="00742A5C" w:rsidRDefault="00FC0CB8" w:rsidP="003905A2">
            <w:pPr>
              <w:rPr>
                <w:color w:val="000000"/>
                <w:sz w:val="16"/>
                <w:szCs w:val="16"/>
              </w:rPr>
            </w:pPr>
            <w:r w:rsidRPr="00742A5C">
              <w:rPr>
                <w:color w:val="000000"/>
                <w:sz w:val="16"/>
                <w:szCs w:val="16"/>
              </w:rPr>
              <w:t>SMAD family member 5</w:t>
            </w:r>
          </w:p>
        </w:tc>
        <w:tc>
          <w:tcPr>
            <w:tcW w:w="3685" w:type="dxa"/>
            <w:vAlign w:val="bottom"/>
          </w:tcPr>
          <w:p w:rsidR="00FC0CB8" w:rsidRPr="00742A5C" w:rsidRDefault="00FC0CB8" w:rsidP="003905A2">
            <w:pPr>
              <w:rPr>
                <w:sz w:val="16"/>
                <w:szCs w:val="16"/>
              </w:rPr>
            </w:pPr>
            <w:r w:rsidRPr="00742A5C">
              <w:rPr>
                <w:sz w:val="16"/>
                <w:szCs w:val="16"/>
              </w:rPr>
              <w:t>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Hs00195441_m1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SMAD9</w:t>
            </w:r>
          </w:p>
        </w:tc>
        <w:tc>
          <w:tcPr>
            <w:tcW w:w="2410" w:type="dxa"/>
            <w:vAlign w:val="bottom"/>
          </w:tcPr>
          <w:p w:rsidR="00FC0CB8" w:rsidRPr="00742A5C" w:rsidRDefault="00FC0CB8" w:rsidP="003905A2">
            <w:pPr>
              <w:rPr>
                <w:color w:val="000000"/>
                <w:sz w:val="16"/>
                <w:szCs w:val="16"/>
              </w:rPr>
            </w:pPr>
            <w:r w:rsidRPr="00742A5C">
              <w:rPr>
                <w:color w:val="000000"/>
                <w:sz w:val="16"/>
                <w:szCs w:val="16"/>
              </w:rPr>
              <w:t>SMAD family member 9</w:t>
            </w:r>
          </w:p>
        </w:tc>
        <w:tc>
          <w:tcPr>
            <w:tcW w:w="3685" w:type="dxa"/>
            <w:vAlign w:val="bottom"/>
          </w:tcPr>
          <w:p w:rsidR="00FC0CB8" w:rsidRPr="00742A5C" w:rsidRDefault="00FC0CB8" w:rsidP="003905A2">
            <w:pPr>
              <w:rPr>
                <w:sz w:val="16"/>
                <w:szCs w:val="16"/>
              </w:rPr>
            </w:pPr>
            <w:r w:rsidRPr="00742A5C">
              <w:rPr>
                <w:sz w:val="16"/>
                <w:szCs w:val="16"/>
              </w:rPr>
              <w:t>TGF-Beta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Hs00410929_m1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Ubiquitin-protein ligase</w:t>
            </w:r>
          </w:p>
        </w:tc>
        <w:tc>
          <w:tcPr>
            <w:tcW w:w="851" w:type="dxa"/>
            <w:vAlign w:val="bottom"/>
          </w:tcPr>
          <w:p w:rsidR="00FC0CB8" w:rsidRPr="00742A5C" w:rsidRDefault="00FC0CB8" w:rsidP="003905A2">
            <w:pPr>
              <w:rPr>
                <w:color w:val="000000"/>
                <w:sz w:val="16"/>
                <w:szCs w:val="16"/>
              </w:rPr>
            </w:pPr>
            <w:r w:rsidRPr="00742A5C">
              <w:rPr>
                <w:color w:val="000000"/>
                <w:sz w:val="16"/>
                <w:szCs w:val="16"/>
              </w:rPr>
              <w:t>SMURF1</w:t>
            </w:r>
          </w:p>
        </w:tc>
        <w:tc>
          <w:tcPr>
            <w:tcW w:w="2410" w:type="dxa"/>
            <w:vAlign w:val="bottom"/>
          </w:tcPr>
          <w:p w:rsidR="00FC0CB8" w:rsidRPr="00742A5C" w:rsidRDefault="00FC0CB8" w:rsidP="003905A2">
            <w:pPr>
              <w:rPr>
                <w:color w:val="000000"/>
                <w:sz w:val="16"/>
                <w:szCs w:val="16"/>
              </w:rPr>
            </w:pPr>
            <w:r w:rsidRPr="00742A5C">
              <w:rPr>
                <w:color w:val="000000"/>
                <w:sz w:val="16"/>
                <w:szCs w:val="16"/>
              </w:rPr>
              <w:t>SMAD specific E3 ubiquitin protein ligase 1</w:t>
            </w:r>
          </w:p>
        </w:tc>
        <w:tc>
          <w:tcPr>
            <w:tcW w:w="3685" w:type="dxa"/>
            <w:vAlign w:val="bottom"/>
          </w:tcPr>
          <w:p w:rsidR="00FC0CB8" w:rsidRPr="00742A5C" w:rsidRDefault="00FC0CB8" w:rsidP="003905A2">
            <w:pPr>
              <w:rPr>
                <w:sz w:val="16"/>
                <w:szCs w:val="16"/>
              </w:rPr>
            </w:pPr>
            <w:r w:rsidRPr="00742A5C">
              <w:rPr>
                <w:sz w:val="16"/>
                <w:szCs w:val="16"/>
              </w:rPr>
              <w:t>Embryonic Development, Molecules Regulating Signaling of the TGF-β Superfamily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Hs00175478_m1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Membrane-bound signaling molecule</w:t>
            </w:r>
          </w:p>
        </w:tc>
        <w:tc>
          <w:tcPr>
            <w:tcW w:w="851" w:type="dxa"/>
            <w:vAlign w:val="bottom"/>
          </w:tcPr>
          <w:p w:rsidR="00FC0CB8" w:rsidRPr="00742A5C" w:rsidRDefault="00FC0CB8" w:rsidP="003905A2">
            <w:pPr>
              <w:rPr>
                <w:color w:val="000000"/>
                <w:sz w:val="16"/>
                <w:szCs w:val="16"/>
              </w:rPr>
            </w:pPr>
            <w:r w:rsidRPr="00742A5C">
              <w:rPr>
                <w:color w:val="000000"/>
                <w:sz w:val="16"/>
                <w:szCs w:val="16"/>
              </w:rPr>
              <w:t>CD80</w:t>
            </w:r>
          </w:p>
        </w:tc>
        <w:tc>
          <w:tcPr>
            <w:tcW w:w="2410" w:type="dxa"/>
            <w:vAlign w:val="bottom"/>
          </w:tcPr>
          <w:p w:rsidR="00FC0CB8" w:rsidRPr="00742A5C" w:rsidRDefault="00FC0CB8" w:rsidP="003905A2">
            <w:pPr>
              <w:rPr>
                <w:color w:val="000000"/>
                <w:sz w:val="16"/>
                <w:szCs w:val="16"/>
              </w:rPr>
            </w:pPr>
            <w:r w:rsidRPr="00742A5C">
              <w:rPr>
                <w:color w:val="000000"/>
                <w:sz w:val="16"/>
                <w:szCs w:val="16"/>
              </w:rPr>
              <w:t>CD80 molecule</w:t>
            </w:r>
          </w:p>
        </w:tc>
        <w:tc>
          <w:tcPr>
            <w:tcW w:w="3685" w:type="dxa"/>
            <w:vAlign w:val="bottom"/>
          </w:tcPr>
          <w:p w:rsidR="00FC0CB8" w:rsidRPr="00742A5C" w:rsidRDefault="00FC0CB8" w:rsidP="003905A2">
            <w:pPr>
              <w:rPr>
                <w:sz w:val="16"/>
                <w:szCs w:val="16"/>
              </w:rPr>
            </w:pPr>
            <w:r w:rsidRPr="00742A5C">
              <w:rPr>
                <w:sz w:val="16"/>
                <w:szCs w:val="16"/>
              </w:rPr>
              <w:t xml:space="preserve">CTLA4 Signaling, IL-2 Gene Expression in Activated and Quiescent T-Cells, T-Cell Receptor and CD3 Complex, TGF-Beta Pathway, Antigen Dependent B-cell Activation, Regulators of T-cell </w:t>
            </w:r>
            <w:r w:rsidRPr="00742A5C">
              <w:rPr>
                <w:sz w:val="16"/>
                <w:szCs w:val="16"/>
              </w:rPr>
              <w:lastRenderedPageBreak/>
              <w:t xml:space="preserve">Activation </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lastRenderedPageBreak/>
              <w:t>Hs01567025_m1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Membrane-bound signaling molecule</w:t>
            </w:r>
          </w:p>
        </w:tc>
        <w:tc>
          <w:tcPr>
            <w:tcW w:w="851" w:type="dxa"/>
            <w:vAlign w:val="bottom"/>
          </w:tcPr>
          <w:p w:rsidR="00FC0CB8" w:rsidRPr="00742A5C" w:rsidRDefault="00FC0CB8" w:rsidP="003905A2">
            <w:pPr>
              <w:rPr>
                <w:color w:val="000000"/>
                <w:sz w:val="16"/>
                <w:szCs w:val="16"/>
              </w:rPr>
            </w:pPr>
            <w:r w:rsidRPr="00742A5C">
              <w:rPr>
                <w:color w:val="000000"/>
                <w:sz w:val="16"/>
                <w:szCs w:val="16"/>
              </w:rPr>
              <w:t>CD86</w:t>
            </w:r>
          </w:p>
        </w:tc>
        <w:tc>
          <w:tcPr>
            <w:tcW w:w="2410" w:type="dxa"/>
            <w:vAlign w:val="bottom"/>
          </w:tcPr>
          <w:p w:rsidR="00FC0CB8" w:rsidRPr="00742A5C" w:rsidRDefault="00FC0CB8" w:rsidP="003905A2">
            <w:pPr>
              <w:rPr>
                <w:color w:val="000000"/>
                <w:sz w:val="16"/>
                <w:szCs w:val="16"/>
              </w:rPr>
            </w:pPr>
            <w:r w:rsidRPr="00742A5C">
              <w:rPr>
                <w:color w:val="000000"/>
                <w:sz w:val="16"/>
                <w:szCs w:val="16"/>
              </w:rPr>
              <w:t>CD86 molecule</w:t>
            </w:r>
          </w:p>
        </w:tc>
        <w:tc>
          <w:tcPr>
            <w:tcW w:w="3685" w:type="dxa"/>
            <w:vAlign w:val="bottom"/>
          </w:tcPr>
          <w:p w:rsidR="00FC0CB8" w:rsidRPr="00742A5C" w:rsidRDefault="00FC0CB8" w:rsidP="003905A2">
            <w:pPr>
              <w:rPr>
                <w:sz w:val="16"/>
                <w:szCs w:val="16"/>
              </w:rPr>
            </w:pPr>
            <w:r w:rsidRPr="00742A5C">
              <w:rPr>
                <w:sz w:val="16"/>
                <w:szCs w:val="16"/>
              </w:rPr>
              <w:t>CTLA4 Signaling, Regulators of T-cell Activation</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Hs00231733_m1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Transcription cofactor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CREBBP</w:t>
            </w:r>
          </w:p>
        </w:tc>
        <w:tc>
          <w:tcPr>
            <w:tcW w:w="2410" w:type="dxa"/>
            <w:vAlign w:val="bottom"/>
          </w:tcPr>
          <w:p w:rsidR="00FC0CB8" w:rsidRPr="00742A5C" w:rsidRDefault="00FC0CB8" w:rsidP="003905A2">
            <w:pPr>
              <w:rPr>
                <w:color w:val="000000"/>
                <w:sz w:val="16"/>
                <w:szCs w:val="16"/>
              </w:rPr>
            </w:pPr>
            <w:r w:rsidRPr="00742A5C">
              <w:rPr>
                <w:color w:val="000000"/>
                <w:sz w:val="16"/>
                <w:szCs w:val="16"/>
              </w:rPr>
              <w:t>CREB binding protein</w:t>
            </w:r>
          </w:p>
        </w:tc>
        <w:tc>
          <w:tcPr>
            <w:tcW w:w="3685" w:type="dxa"/>
            <w:vAlign w:val="bottom"/>
          </w:tcPr>
          <w:p w:rsidR="00FC0CB8" w:rsidRPr="00742A5C" w:rsidRDefault="00FC0CB8" w:rsidP="003905A2">
            <w:pPr>
              <w:rPr>
                <w:sz w:val="16"/>
                <w:szCs w:val="16"/>
              </w:rPr>
            </w:pPr>
            <w:r w:rsidRPr="00742A5C">
              <w:rPr>
                <w:sz w:val="16"/>
                <w:szCs w:val="16"/>
              </w:rPr>
              <w:t>NF-KappaB Family Pathway, TGF-Beta Pathway, CD4+T Cell Marker</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Hs00232342_m1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NFATC1</w:t>
            </w:r>
          </w:p>
        </w:tc>
        <w:tc>
          <w:tcPr>
            <w:tcW w:w="2410" w:type="dxa"/>
            <w:vAlign w:val="bottom"/>
          </w:tcPr>
          <w:p w:rsidR="00FC0CB8" w:rsidRPr="00742A5C" w:rsidRDefault="00FC0CB8" w:rsidP="003905A2">
            <w:pPr>
              <w:rPr>
                <w:color w:val="000000"/>
                <w:sz w:val="16"/>
                <w:szCs w:val="16"/>
              </w:rPr>
            </w:pPr>
            <w:r w:rsidRPr="00742A5C">
              <w:rPr>
                <w:color w:val="000000"/>
                <w:sz w:val="16"/>
                <w:szCs w:val="16"/>
              </w:rPr>
              <w:t>nuclear factor of activated T-cells, cytoplasmic, calcineurin-dependent 1</w:t>
            </w:r>
          </w:p>
        </w:tc>
        <w:tc>
          <w:tcPr>
            <w:tcW w:w="3685" w:type="dxa"/>
            <w:vAlign w:val="bottom"/>
          </w:tcPr>
          <w:p w:rsidR="00FC0CB8" w:rsidRPr="00742A5C" w:rsidRDefault="00FC0CB8" w:rsidP="003905A2">
            <w:pPr>
              <w:rPr>
                <w:sz w:val="16"/>
                <w:szCs w:val="16"/>
              </w:rPr>
            </w:pPr>
            <w:r w:rsidRPr="00742A5C">
              <w:rPr>
                <w:sz w:val="16"/>
                <w:szCs w:val="16"/>
              </w:rPr>
              <w:t>IL-2 Gene Expression in Activated and Quiescent T-Cells, TH2 Cytokines, VEGF Signaling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Hs00234855_m1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NFATC2</w:t>
            </w:r>
          </w:p>
        </w:tc>
        <w:tc>
          <w:tcPr>
            <w:tcW w:w="2410" w:type="dxa"/>
            <w:vAlign w:val="bottom"/>
          </w:tcPr>
          <w:p w:rsidR="00FC0CB8" w:rsidRPr="00742A5C" w:rsidRDefault="00FC0CB8" w:rsidP="003905A2">
            <w:pPr>
              <w:rPr>
                <w:color w:val="000000"/>
                <w:sz w:val="16"/>
                <w:szCs w:val="16"/>
              </w:rPr>
            </w:pPr>
            <w:r w:rsidRPr="00742A5C">
              <w:rPr>
                <w:color w:val="000000"/>
                <w:sz w:val="16"/>
                <w:szCs w:val="16"/>
              </w:rPr>
              <w:t>nuclear factor of activated T-cells, cytoplasmic, calcineurin-dependent 2</w:t>
            </w:r>
          </w:p>
        </w:tc>
        <w:tc>
          <w:tcPr>
            <w:tcW w:w="3685" w:type="dxa"/>
            <w:vAlign w:val="bottom"/>
          </w:tcPr>
          <w:p w:rsidR="00FC0CB8" w:rsidRPr="00742A5C" w:rsidRDefault="00FC0CB8" w:rsidP="003905A2">
            <w:pPr>
              <w:rPr>
                <w:sz w:val="16"/>
                <w:szCs w:val="16"/>
              </w:rPr>
            </w:pPr>
            <w:r w:rsidRPr="00742A5C">
              <w:rPr>
                <w:sz w:val="16"/>
                <w:szCs w:val="16"/>
              </w:rPr>
              <w:t>IL-2 Gene Expression in Activated and Quiescent T-Cells, TH2 Cytokines, VEGF Signaling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Hs00190046_m1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NFATC3</w:t>
            </w:r>
          </w:p>
        </w:tc>
        <w:tc>
          <w:tcPr>
            <w:tcW w:w="2410" w:type="dxa"/>
            <w:vAlign w:val="bottom"/>
          </w:tcPr>
          <w:p w:rsidR="00FC0CB8" w:rsidRPr="00742A5C" w:rsidRDefault="00FC0CB8" w:rsidP="003905A2">
            <w:pPr>
              <w:rPr>
                <w:color w:val="000000"/>
                <w:sz w:val="16"/>
                <w:szCs w:val="16"/>
              </w:rPr>
            </w:pPr>
            <w:r w:rsidRPr="00742A5C">
              <w:rPr>
                <w:color w:val="000000"/>
                <w:sz w:val="16"/>
                <w:szCs w:val="16"/>
              </w:rPr>
              <w:t>nuclear factor of activated T-cells, cytoplasmic, calcineurin-dependent 3</w:t>
            </w:r>
          </w:p>
        </w:tc>
        <w:tc>
          <w:tcPr>
            <w:tcW w:w="3685" w:type="dxa"/>
            <w:vAlign w:val="bottom"/>
          </w:tcPr>
          <w:p w:rsidR="00FC0CB8" w:rsidRPr="00742A5C" w:rsidRDefault="00FC0CB8" w:rsidP="003905A2">
            <w:pPr>
              <w:rPr>
                <w:sz w:val="16"/>
                <w:szCs w:val="16"/>
              </w:rPr>
            </w:pPr>
            <w:r w:rsidRPr="00742A5C">
              <w:rPr>
                <w:sz w:val="16"/>
                <w:szCs w:val="16"/>
              </w:rPr>
              <w:t>IL-2 Gene Expression in Activated and Quiescent T-Cells, Inflammatory Response, VEGF Signaling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Hs00190037_m1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NFATC4</w:t>
            </w:r>
          </w:p>
        </w:tc>
        <w:tc>
          <w:tcPr>
            <w:tcW w:w="2410" w:type="dxa"/>
            <w:vAlign w:val="bottom"/>
          </w:tcPr>
          <w:p w:rsidR="00FC0CB8" w:rsidRPr="00742A5C" w:rsidRDefault="00FC0CB8" w:rsidP="003905A2">
            <w:pPr>
              <w:rPr>
                <w:color w:val="000000"/>
                <w:sz w:val="16"/>
                <w:szCs w:val="16"/>
              </w:rPr>
            </w:pPr>
            <w:r w:rsidRPr="00742A5C">
              <w:rPr>
                <w:color w:val="000000"/>
                <w:sz w:val="16"/>
                <w:szCs w:val="16"/>
              </w:rPr>
              <w:t>nuclear factor of activated T-cells, cytoplasmic, calcineurin-dependent 4</w:t>
            </w:r>
          </w:p>
        </w:tc>
        <w:tc>
          <w:tcPr>
            <w:tcW w:w="3685" w:type="dxa"/>
            <w:vAlign w:val="bottom"/>
          </w:tcPr>
          <w:p w:rsidR="00FC0CB8" w:rsidRPr="00742A5C" w:rsidRDefault="00FC0CB8" w:rsidP="003905A2">
            <w:pPr>
              <w:rPr>
                <w:sz w:val="16"/>
                <w:szCs w:val="16"/>
              </w:rPr>
            </w:pPr>
            <w:r w:rsidRPr="00742A5C">
              <w:rPr>
                <w:sz w:val="16"/>
                <w:szCs w:val="16"/>
              </w:rPr>
              <w:t>IL-2 Gene Expression in Activated and Quiescent T-Cells, VEGF Signaling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Hs00765730_m1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NFKB1</w:t>
            </w:r>
          </w:p>
        </w:tc>
        <w:tc>
          <w:tcPr>
            <w:tcW w:w="2410" w:type="dxa"/>
            <w:vAlign w:val="bottom"/>
          </w:tcPr>
          <w:p w:rsidR="00FC0CB8" w:rsidRPr="00742A5C" w:rsidRDefault="00FC0CB8" w:rsidP="003905A2">
            <w:pPr>
              <w:rPr>
                <w:color w:val="000000"/>
                <w:sz w:val="16"/>
                <w:szCs w:val="16"/>
              </w:rPr>
            </w:pPr>
            <w:r w:rsidRPr="00742A5C">
              <w:rPr>
                <w:color w:val="000000"/>
                <w:sz w:val="16"/>
                <w:szCs w:val="16"/>
              </w:rPr>
              <w:t>nuclear factor of kappa light polypeptide gene enhancer in B-cells 1</w:t>
            </w:r>
          </w:p>
        </w:tc>
        <w:tc>
          <w:tcPr>
            <w:tcW w:w="3685" w:type="dxa"/>
            <w:vAlign w:val="bottom"/>
          </w:tcPr>
          <w:p w:rsidR="00FC0CB8" w:rsidRPr="00742A5C" w:rsidRDefault="00FC0CB8" w:rsidP="003905A2">
            <w:pPr>
              <w:rPr>
                <w:sz w:val="16"/>
                <w:szCs w:val="16"/>
              </w:rPr>
            </w:pPr>
            <w:r w:rsidRPr="00742A5C">
              <w:rPr>
                <w:sz w:val="16"/>
                <w:szCs w:val="16"/>
              </w:rPr>
              <w:t>Cellular Apoptosis Pathway, Chemokine Signaling, IL-2 Gene Expression in Activated and Quiescent T-Cells, NF-KappaB Family Pathway, Renin-Angiotensin Pathway, Inflammatory Response</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Hs00374416_m1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signaling molecule</w:t>
            </w:r>
          </w:p>
        </w:tc>
        <w:tc>
          <w:tcPr>
            <w:tcW w:w="851" w:type="dxa"/>
            <w:vAlign w:val="bottom"/>
          </w:tcPr>
          <w:p w:rsidR="00FC0CB8" w:rsidRPr="00742A5C" w:rsidRDefault="00FC0CB8" w:rsidP="003905A2">
            <w:pPr>
              <w:rPr>
                <w:color w:val="000000"/>
                <w:sz w:val="16"/>
                <w:szCs w:val="16"/>
              </w:rPr>
            </w:pPr>
            <w:r w:rsidRPr="00742A5C">
              <w:rPr>
                <w:color w:val="000000"/>
                <w:sz w:val="16"/>
                <w:szCs w:val="16"/>
              </w:rPr>
              <w:t>SOCS2</w:t>
            </w:r>
          </w:p>
        </w:tc>
        <w:tc>
          <w:tcPr>
            <w:tcW w:w="2410" w:type="dxa"/>
            <w:vAlign w:val="bottom"/>
          </w:tcPr>
          <w:p w:rsidR="00FC0CB8" w:rsidRPr="00742A5C" w:rsidRDefault="00FC0CB8" w:rsidP="003905A2">
            <w:pPr>
              <w:rPr>
                <w:color w:val="000000"/>
                <w:sz w:val="16"/>
                <w:szCs w:val="16"/>
              </w:rPr>
            </w:pPr>
            <w:r w:rsidRPr="00742A5C">
              <w:rPr>
                <w:color w:val="000000"/>
                <w:sz w:val="16"/>
                <w:szCs w:val="16"/>
              </w:rPr>
              <w:t>suppressor of cytokine signaling 2</w:t>
            </w:r>
          </w:p>
        </w:tc>
        <w:tc>
          <w:tcPr>
            <w:tcW w:w="3685" w:type="dxa"/>
            <w:vAlign w:val="bottom"/>
          </w:tcPr>
          <w:p w:rsidR="00FC0CB8" w:rsidRPr="00742A5C" w:rsidRDefault="00FC0CB8" w:rsidP="003905A2">
            <w:pPr>
              <w:rPr>
                <w:sz w:val="16"/>
                <w:szCs w:val="16"/>
              </w:rPr>
            </w:pPr>
            <w:r w:rsidRPr="00742A5C">
              <w:rPr>
                <w:sz w:val="16"/>
                <w:szCs w:val="16"/>
              </w:rPr>
              <w:t>Other Transcription Factors and Regulators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Hs00751962_s1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signaling molecule</w:t>
            </w:r>
          </w:p>
        </w:tc>
        <w:tc>
          <w:tcPr>
            <w:tcW w:w="851" w:type="dxa"/>
            <w:vAlign w:val="bottom"/>
          </w:tcPr>
          <w:p w:rsidR="00FC0CB8" w:rsidRPr="00742A5C" w:rsidRDefault="00FC0CB8" w:rsidP="003905A2">
            <w:pPr>
              <w:rPr>
                <w:color w:val="000000"/>
                <w:sz w:val="16"/>
                <w:szCs w:val="16"/>
              </w:rPr>
            </w:pPr>
            <w:r w:rsidRPr="00742A5C">
              <w:rPr>
                <w:color w:val="000000"/>
                <w:sz w:val="16"/>
                <w:szCs w:val="16"/>
              </w:rPr>
              <w:t>SOCS5</w:t>
            </w:r>
          </w:p>
        </w:tc>
        <w:tc>
          <w:tcPr>
            <w:tcW w:w="2410" w:type="dxa"/>
            <w:vAlign w:val="bottom"/>
          </w:tcPr>
          <w:p w:rsidR="00FC0CB8" w:rsidRPr="00742A5C" w:rsidRDefault="00FC0CB8" w:rsidP="003905A2">
            <w:pPr>
              <w:rPr>
                <w:color w:val="000000"/>
                <w:sz w:val="16"/>
                <w:szCs w:val="16"/>
              </w:rPr>
            </w:pPr>
            <w:r w:rsidRPr="00742A5C">
              <w:rPr>
                <w:color w:val="000000"/>
                <w:sz w:val="16"/>
                <w:szCs w:val="16"/>
              </w:rPr>
              <w:t>suppressor of cytokine signaling 5</w:t>
            </w:r>
          </w:p>
        </w:tc>
        <w:tc>
          <w:tcPr>
            <w:tcW w:w="3685" w:type="dxa"/>
            <w:vAlign w:val="bottom"/>
          </w:tcPr>
          <w:p w:rsidR="00FC0CB8" w:rsidRPr="00742A5C" w:rsidRDefault="00FC0CB8" w:rsidP="003905A2">
            <w:pPr>
              <w:rPr>
                <w:sz w:val="16"/>
                <w:szCs w:val="16"/>
              </w:rPr>
            </w:pPr>
            <w:r w:rsidRPr="00742A5C">
              <w:rPr>
                <w:sz w:val="16"/>
                <w:szCs w:val="16"/>
              </w:rPr>
              <w:t>T-cell Differentiation</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Hs00959009_m1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Cytokine</w:t>
            </w:r>
          </w:p>
        </w:tc>
        <w:tc>
          <w:tcPr>
            <w:tcW w:w="851" w:type="dxa"/>
            <w:vAlign w:val="bottom"/>
          </w:tcPr>
          <w:p w:rsidR="00FC0CB8" w:rsidRPr="00742A5C" w:rsidRDefault="00FC0CB8" w:rsidP="003905A2">
            <w:pPr>
              <w:rPr>
                <w:color w:val="000000"/>
                <w:sz w:val="16"/>
                <w:szCs w:val="16"/>
              </w:rPr>
            </w:pPr>
            <w:r w:rsidRPr="00742A5C">
              <w:rPr>
                <w:color w:val="000000"/>
                <w:sz w:val="16"/>
                <w:szCs w:val="16"/>
              </w:rPr>
              <w:t>SPP1</w:t>
            </w:r>
          </w:p>
        </w:tc>
        <w:tc>
          <w:tcPr>
            <w:tcW w:w="2410" w:type="dxa"/>
            <w:vAlign w:val="bottom"/>
          </w:tcPr>
          <w:p w:rsidR="00FC0CB8" w:rsidRPr="00742A5C" w:rsidRDefault="00FC0CB8" w:rsidP="003905A2">
            <w:pPr>
              <w:rPr>
                <w:color w:val="000000"/>
                <w:sz w:val="16"/>
                <w:szCs w:val="16"/>
              </w:rPr>
            </w:pPr>
            <w:r w:rsidRPr="00742A5C">
              <w:rPr>
                <w:color w:val="000000"/>
                <w:sz w:val="16"/>
                <w:szCs w:val="16"/>
              </w:rPr>
              <w:t>secreted phosphoprotein 1</w:t>
            </w:r>
          </w:p>
        </w:tc>
        <w:tc>
          <w:tcPr>
            <w:tcW w:w="3685" w:type="dxa"/>
            <w:vAlign w:val="bottom"/>
          </w:tcPr>
          <w:p w:rsidR="00FC0CB8" w:rsidRPr="00742A5C" w:rsidRDefault="00FC0CB8" w:rsidP="003905A2">
            <w:pPr>
              <w:rPr>
                <w:sz w:val="16"/>
                <w:szCs w:val="16"/>
              </w:rPr>
            </w:pPr>
            <w:r w:rsidRPr="00742A5C">
              <w:rPr>
                <w:sz w:val="16"/>
                <w:szCs w:val="16"/>
              </w:rPr>
              <w:t>Transendothelial Migration of Leukocytes, T-cell Activation</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Hs00234829_m1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STAT1</w:t>
            </w:r>
          </w:p>
        </w:tc>
        <w:tc>
          <w:tcPr>
            <w:tcW w:w="2410" w:type="dxa"/>
            <w:vAlign w:val="bottom"/>
          </w:tcPr>
          <w:p w:rsidR="00FC0CB8" w:rsidRPr="00742A5C" w:rsidRDefault="00FC0CB8" w:rsidP="003905A2">
            <w:pPr>
              <w:rPr>
                <w:color w:val="000000"/>
                <w:sz w:val="16"/>
                <w:szCs w:val="16"/>
              </w:rPr>
            </w:pPr>
            <w:r w:rsidRPr="00742A5C">
              <w:rPr>
                <w:color w:val="000000"/>
                <w:sz w:val="16"/>
                <w:szCs w:val="16"/>
              </w:rPr>
              <w:t>signal transducer and activator of transcription 1, 91kDa</w:t>
            </w:r>
          </w:p>
        </w:tc>
        <w:tc>
          <w:tcPr>
            <w:tcW w:w="3685" w:type="dxa"/>
            <w:vAlign w:val="bottom"/>
          </w:tcPr>
          <w:p w:rsidR="00FC0CB8" w:rsidRPr="00742A5C" w:rsidRDefault="00FC0CB8" w:rsidP="003905A2">
            <w:pPr>
              <w:rPr>
                <w:sz w:val="16"/>
                <w:szCs w:val="16"/>
              </w:rPr>
            </w:pPr>
            <w:r w:rsidRPr="00742A5C">
              <w:rPr>
                <w:sz w:val="16"/>
                <w:szCs w:val="16"/>
              </w:rPr>
              <w:t xml:space="preserve">Interferon Pathway, Renin-Angiotensin Pathway, TH1 Cytokines </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Hs00237139_m1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Miscellaneous function</w:t>
            </w:r>
          </w:p>
        </w:tc>
        <w:tc>
          <w:tcPr>
            <w:tcW w:w="851" w:type="dxa"/>
            <w:vAlign w:val="bottom"/>
          </w:tcPr>
          <w:p w:rsidR="00FC0CB8" w:rsidRPr="00742A5C" w:rsidRDefault="00FC0CB8" w:rsidP="003905A2">
            <w:pPr>
              <w:rPr>
                <w:color w:val="000000"/>
                <w:sz w:val="16"/>
                <w:szCs w:val="16"/>
              </w:rPr>
            </w:pPr>
            <w:r w:rsidRPr="00742A5C">
              <w:rPr>
                <w:color w:val="000000"/>
                <w:sz w:val="16"/>
                <w:szCs w:val="16"/>
              </w:rPr>
              <w:t>STAT2</w:t>
            </w:r>
          </w:p>
        </w:tc>
        <w:tc>
          <w:tcPr>
            <w:tcW w:w="2410" w:type="dxa"/>
            <w:vAlign w:val="bottom"/>
          </w:tcPr>
          <w:p w:rsidR="00FC0CB8" w:rsidRPr="00742A5C" w:rsidRDefault="00FC0CB8" w:rsidP="003905A2">
            <w:pPr>
              <w:rPr>
                <w:color w:val="000000"/>
                <w:sz w:val="16"/>
                <w:szCs w:val="16"/>
              </w:rPr>
            </w:pPr>
            <w:r w:rsidRPr="00742A5C">
              <w:rPr>
                <w:color w:val="000000"/>
                <w:sz w:val="16"/>
                <w:szCs w:val="16"/>
              </w:rPr>
              <w:t>signal transducer and activator of transcription 2, 113kDa</w:t>
            </w:r>
          </w:p>
        </w:tc>
        <w:tc>
          <w:tcPr>
            <w:tcW w:w="3685" w:type="dxa"/>
            <w:vAlign w:val="bottom"/>
          </w:tcPr>
          <w:p w:rsidR="00FC0CB8" w:rsidRPr="00742A5C" w:rsidRDefault="00FC0CB8" w:rsidP="003905A2">
            <w:pPr>
              <w:rPr>
                <w:sz w:val="16"/>
                <w:szCs w:val="16"/>
              </w:rPr>
            </w:pPr>
            <w:r w:rsidRPr="00742A5C">
              <w:rPr>
                <w:sz w:val="16"/>
                <w:szCs w:val="16"/>
              </w:rPr>
              <w:t>Interferon Pathway, JAK / STAT Signaling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Hs00374280_m1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STAT3</w:t>
            </w:r>
          </w:p>
        </w:tc>
        <w:tc>
          <w:tcPr>
            <w:tcW w:w="2410" w:type="dxa"/>
            <w:vAlign w:val="bottom"/>
          </w:tcPr>
          <w:p w:rsidR="00FC0CB8" w:rsidRPr="00742A5C" w:rsidRDefault="00FC0CB8" w:rsidP="003905A2">
            <w:pPr>
              <w:rPr>
                <w:color w:val="000000"/>
                <w:sz w:val="16"/>
                <w:szCs w:val="16"/>
              </w:rPr>
            </w:pPr>
            <w:r w:rsidRPr="00742A5C">
              <w:rPr>
                <w:color w:val="000000"/>
                <w:sz w:val="16"/>
                <w:szCs w:val="16"/>
              </w:rPr>
              <w:t>signal transducer and activator of transcription 3 (acute-phase response factor)</w:t>
            </w:r>
          </w:p>
        </w:tc>
        <w:tc>
          <w:tcPr>
            <w:tcW w:w="3685" w:type="dxa"/>
            <w:vAlign w:val="bottom"/>
          </w:tcPr>
          <w:p w:rsidR="00FC0CB8" w:rsidRPr="00742A5C" w:rsidRDefault="00FC0CB8" w:rsidP="003905A2">
            <w:pPr>
              <w:rPr>
                <w:sz w:val="16"/>
                <w:szCs w:val="16"/>
              </w:rPr>
            </w:pPr>
            <w:r w:rsidRPr="00742A5C">
              <w:rPr>
                <w:sz w:val="16"/>
                <w:szCs w:val="16"/>
              </w:rPr>
              <w:t xml:space="preserve">Renin-Angiotensin Pathway, Transcriptional Regulator </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Hs00231372_m1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STAT4</w:t>
            </w:r>
          </w:p>
        </w:tc>
        <w:tc>
          <w:tcPr>
            <w:tcW w:w="2410" w:type="dxa"/>
            <w:vAlign w:val="bottom"/>
          </w:tcPr>
          <w:p w:rsidR="00FC0CB8" w:rsidRPr="00742A5C" w:rsidRDefault="00FC0CB8" w:rsidP="003905A2">
            <w:pPr>
              <w:rPr>
                <w:color w:val="000000"/>
                <w:sz w:val="16"/>
                <w:szCs w:val="16"/>
              </w:rPr>
            </w:pPr>
            <w:r w:rsidRPr="00742A5C">
              <w:rPr>
                <w:color w:val="000000"/>
                <w:sz w:val="16"/>
                <w:szCs w:val="16"/>
              </w:rPr>
              <w:t>signal transducer and activator of transcription 4</w:t>
            </w:r>
          </w:p>
        </w:tc>
        <w:tc>
          <w:tcPr>
            <w:tcW w:w="3685" w:type="dxa"/>
            <w:vAlign w:val="bottom"/>
          </w:tcPr>
          <w:p w:rsidR="00FC0CB8" w:rsidRPr="00742A5C" w:rsidRDefault="00FC0CB8" w:rsidP="003905A2">
            <w:pPr>
              <w:rPr>
                <w:sz w:val="16"/>
                <w:szCs w:val="16"/>
              </w:rPr>
            </w:pPr>
            <w:r w:rsidRPr="00742A5C">
              <w:rPr>
                <w:sz w:val="16"/>
                <w:szCs w:val="16"/>
              </w:rPr>
              <w:t xml:space="preserve">TH1 Cytokines </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Hs00559643_m1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STAT5A</w:t>
            </w:r>
          </w:p>
        </w:tc>
        <w:tc>
          <w:tcPr>
            <w:tcW w:w="2410" w:type="dxa"/>
            <w:vAlign w:val="bottom"/>
          </w:tcPr>
          <w:p w:rsidR="00FC0CB8" w:rsidRPr="00742A5C" w:rsidRDefault="00FC0CB8" w:rsidP="003905A2">
            <w:pPr>
              <w:rPr>
                <w:color w:val="000000"/>
                <w:sz w:val="16"/>
                <w:szCs w:val="16"/>
              </w:rPr>
            </w:pPr>
            <w:r w:rsidRPr="00742A5C">
              <w:rPr>
                <w:color w:val="000000"/>
                <w:sz w:val="16"/>
                <w:szCs w:val="16"/>
              </w:rPr>
              <w:t>signal transducer and activator of transcription 5A</w:t>
            </w:r>
          </w:p>
        </w:tc>
        <w:tc>
          <w:tcPr>
            <w:tcW w:w="3685" w:type="dxa"/>
            <w:vAlign w:val="bottom"/>
          </w:tcPr>
          <w:p w:rsidR="00FC0CB8" w:rsidRPr="00742A5C" w:rsidRDefault="00FC0CB8" w:rsidP="003905A2">
            <w:pPr>
              <w:rPr>
                <w:sz w:val="16"/>
                <w:szCs w:val="16"/>
              </w:rPr>
            </w:pPr>
            <w:r w:rsidRPr="00742A5C">
              <w:rPr>
                <w:sz w:val="16"/>
                <w:szCs w:val="16"/>
              </w:rPr>
              <w:t>EGF/PDGF/cytokine mediated Signaling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Hs00273500_m1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STAT5B</w:t>
            </w:r>
          </w:p>
        </w:tc>
        <w:tc>
          <w:tcPr>
            <w:tcW w:w="2410" w:type="dxa"/>
            <w:vAlign w:val="bottom"/>
          </w:tcPr>
          <w:p w:rsidR="00FC0CB8" w:rsidRPr="00742A5C" w:rsidRDefault="00FC0CB8" w:rsidP="003905A2">
            <w:pPr>
              <w:rPr>
                <w:color w:val="000000"/>
                <w:sz w:val="16"/>
                <w:szCs w:val="16"/>
              </w:rPr>
            </w:pPr>
            <w:r w:rsidRPr="00742A5C">
              <w:rPr>
                <w:color w:val="000000"/>
                <w:sz w:val="16"/>
                <w:szCs w:val="16"/>
              </w:rPr>
              <w:t>signal transducer and activator of transcription 5B</w:t>
            </w:r>
          </w:p>
        </w:tc>
        <w:tc>
          <w:tcPr>
            <w:tcW w:w="3685" w:type="dxa"/>
            <w:vAlign w:val="bottom"/>
          </w:tcPr>
          <w:p w:rsidR="00FC0CB8" w:rsidRPr="00742A5C" w:rsidRDefault="00FC0CB8" w:rsidP="003905A2">
            <w:pPr>
              <w:rPr>
                <w:sz w:val="16"/>
                <w:szCs w:val="16"/>
              </w:rPr>
            </w:pPr>
            <w:r w:rsidRPr="00742A5C">
              <w:rPr>
                <w:sz w:val="16"/>
                <w:szCs w:val="16"/>
              </w:rPr>
              <w:t>Chemokine Signaling, Cytokine and Chemokine-mediated Signaling Pathways</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Hs00598625_m1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STAT6</w:t>
            </w:r>
          </w:p>
        </w:tc>
        <w:tc>
          <w:tcPr>
            <w:tcW w:w="2410" w:type="dxa"/>
            <w:vAlign w:val="bottom"/>
          </w:tcPr>
          <w:p w:rsidR="00FC0CB8" w:rsidRPr="00742A5C" w:rsidRDefault="00FC0CB8" w:rsidP="003905A2">
            <w:pPr>
              <w:rPr>
                <w:color w:val="000000"/>
                <w:sz w:val="16"/>
                <w:szCs w:val="16"/>
              </w:rPr>
            </w:pPr>
            <w:r w:rsidRPr="00742A5C">
              <w:rPr>
                <w:color w:val="000000"/>
                <w:sz w:val="16"/>
                <w:szCs w:val="16"/>
              </w:rPr>
              <w:t>signal transducer and activator of transcription 6, interleukin-4 induced</w:t>
            </w:r>
          </w:p>
        </w:tc>
        <w:tc>
          <w:tcPr>
            <w:tcW w:w="3685" w:type="dxa"/>
            <w:vAlign w:val="bottom"/>
          </w:tcPr>
          <w:p w:rsidR="00FC0CB8" w:rsidRPr="00742A5C" w:rsidRDefault="00FC0CB8" w:rsidP="003905A2">
            <w:pPr>
              <w:rPr>
                <w:sz w:val="16"/>
                <w:szCs w:val="16"/>
              </w:rPr>
            </w:pPr>
            <w:r w:rsidRPr="00742A5C">
              <w:rPr>
                <w:sz w:val="16"/>
                <w:szCs w:val="16"/>
              </w:rPr>
              <w:t xml:space="preserve">TH2 Cytokines </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Hs00153340_m1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Other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TP53</w:t>
            </w:r>
          </w:p>
        </w:tc>
        <w:tc>
          <w:tcPr>
            <w:tcW w:w="2410" w:type="dxa"/>
            <w:vAlign w:val="bottom"/>
          </w:tcPr>
          <w:p w:rsidR="00FC0CB8" w:rsidRPr="00742A5C" w:rsidRDefault="00FC0CB8" w:rsidP="003905A2">
            <w:pPr>
              <w:rPr>
                <w:color w:val="000000"/>
                <w:sz w:val="16"/>
                <w:szCs w:val="16"/>
              </w:rPr>
            </w:pPr>
            <w:r w:rsidRPr="00742A5C">
              <w:rPr>
                <w:color w:val="000000"/>
                <w:sz w:val="16"/>
                <w:szCs w:val="16"/>
              </w:rPr>
              <w:t>tumor protein p53</w:t>
            </w:r>
          </w:p>
        </w:tc>
        <w:tc>
          <w:tcPr>
            <w:tcW w:w="3685" w:type="dxa"/>
            <w:vAlign w:val="bottom"/>
          </w:tcPr>
          <w:p w:rsidR="00FC0CB8" w:rsidRPr="00742A5C" w:rsidRDefault="00FC0CB8" w:rsidP="003905A2">
            <w:pPr>
              <w:rPr>
                <w:sz w:val="16"/>
                <w:szCs w:val="16"/>
              </w:rPr>
            </w:pPr>
            <w:r w:rsidRPr="00742A5C">
              <w:rPr>
                <w:sz w:val="16"/>
                <w:szCs w:val="16"/>
              </w:rPr>
              <w:t>Cellular Apoptosis Pathway, p53 and DNA Damage Response, Wnt Signaling Pathway</w:t>
            </w:r>
          </w:p>
        </w:tc>
      </w:tr>
      <w:tr w:rsidR="00FC0CB8" w:rsidRPr="00742A5C" w:rsidTr="003905A2">
        <w:tc>
          <w:tcPr>
            <w:tcW w:w="1101" w:type="dxa"/>
            <w:vAlign w:val="bottom"/>
          </w:tcPr>
          <w:p w:rsidR="00FC0CB8" w:rsidRPr="00742A5C" w:rsidRDefault="00FC0CB8" w:rsidP="003905A2">
            <w:pPr>
              <w:rPr>
                <w:color w:val="000000"/>
                <w:sz w:val="16"/>
                <w:szCs w:val="16"/>
              </w:rPr>
            </w:pPr>
            <w:r w:rsidRPr="00742A5C">
              <w:rPr>
                <w:color w:val="000000"/>
                <w:sz w:val="16"/>
                <w:szCs w:val="16"/>
              </w:rPr>
              <w:t>Hs00231533_m1</w:t>
            </w:r>
          </w:p>
        </w:tc>
        <w:tc>
          <w:tcPr>
            <w:tcW w:w="1275" w:type="dxa"/>
            <w:vAlign w:val="bottom"/>
          </w:tcPr>
          <w:p w:rsidR="00FC0CB8" w:rsidRPr="00742A5C" w:rsidRDefault="00FC0CB8" w:rsidP="003905A2">
            <w:pPr>
              <w:rPr>
                <w:color w:val="000000"/>
                <w:sz w:val="16"/>
                <w:szCs w:val="16"/>
              </w:rPr>
            </w:pPr>
            <w:r w:rsidRPr="00742A5C">
              <w:rPr>
                <w:color w:val="000000"/>
                <w:sz w:val="16"/>
                <w:szCs w:val="16"/>
              </w:rPr>
              <w:t>Zinc finger transcription factor</w:t>
            </w:r>
          </w:p>
        </w:tc>
        <w:tc>
          <w:tcPr>
            <w:tcW w:w="851" w:type="dxa"/>
            <w:vAlign w:val="bottom"/>
          </w:tcPr>
          <w:p w:rsidR="00FC0CB8" w:rsidRPr="00742A5C" w:rsidRDefault="00FC0CB8" w:rsidP="003905A2">
            <w:pPr>
              <w:rPr>
                <w:color w:val="000000"/>
                <w:sz w:val="16"/>
                <w:szCs w:val="16"/>
              </w:rPr>
            </w:pPr>
            <w:r w:rsidRPr="00742A5C">
              <w:rPr>
                <w:color w:val="000000"/>
                <w:sz w:val="16"/>
                <w:szCs w:val="16"/>
              </w:rPr>
              <w:t>YY1</w:t>
            </w:r>
          </w:p>
        </w:tc>
        <w:tc>
          <w:tcPr>
            <w:tcW w:w="2410" w:type="dxa"/>
            <w:vAlign w:val="bottom"/>
          </w:tcPr>
          <w:p w:rsidR="00FC0CB8" w:rsidRPr="00742A5C" w:rsidRDefault="00FC0CB8" w:rsidP="003905A2">
            <w:pPr>
              <w:rPr>
                <w:color w:val="000000"/>
                <w:sz w:val="16"/>
                <w:szCs w:val="16"/>
              </w:rPr>
            </w:pPr>
            <w:r w:rsidRPr="00742A5C">
              <w:rPr>
                <w:color w:val="000000"/>
                <w:sz w:val="16"/>
                <w:szCs w:val="16"/>
              </w:rPr>
              <w:t>YY1 transcription factor</w:t>
            </w:r>
          </w:p>
        </w:tc>
        <w:tc>
          <w:tcPr>
            <w:tcW w:w="3685" w:type="dxa"/>
            <w:vAlign w:val="bottom"/>
          </w:tcPr>
          <w:p w:rsidR="00FC0CB8" w:rsidRPr="00742A5C" w:rsidRDefault="00FC0CB8" w:rsidP="003905A2">
            <w:pPr>
              <w:rPr>
                <w:sz w:val="16"/>
                <w:szCs w:val="16"/>
              </w:rPr>
            </w:pPr>
            <w:r w:rsidRPr="00742A5C">
              <w:rPr>
                <w:sz w:val="16"/>
                <w:szCs w:val="16"/>
              </w:rPr>
              <w:t>CD4+T Cell Marker, Other Transcription Factors</w:t>
            </w:r>
          </w:p>
        </w:tc>
      </w:tr>
    </w:tbl>
    <w:p w:rsidR="00FC0CB8" w:rsidRDefault="00FC0CB8" w:rsidP="00827A15">
      <w:pPr>
        <w:spacing w:line="360" w:lineRule="auto"/>
        <w:rPr>
          <w:rFonts w:ascii="Calibri" w:hAnsi="Calibri" w:cs="Calibri"/>
          <w:b/>
          <w:sz w:val="24"/>
          <w:szCs w:val="24"/>
          <w:lang w:val="en-US"/>
        </w:rPr>
      </w:pPr>
    </w:p>
    <w:p w:rsidR="00FC0CB8" w:rsidRPr="00827A15" w:rsidRDefault="00FC0CB8" w:rsidP="00827A15">
      <w:pPr>
        <w:spacing w:line="360" w:lineRule="auto"/>
        <w:rPr>
          <w:rFonts w:ascii="Calibri" w:hAnsi="Calibri" w:cs="Calibri"/>
          <w:b/>
          <w:sz w:val="24"/>
          <w:szCs w:val="24"/>
          <w:lang w:val="en-US"/>
        </w:rPr>
      </w:pPr>
      <w:r>
        <w:rPr>
          <w:rFonts w:ascii="Calibri" w:hAnsi="Calibri" w:cs="Calibri"/>
          <w:b/>
          <w:sz w:val="24"/>
          <w:szCs w:val="24"/>
          <w:lang w:val="en-US"/>
        </w:rPr>
        <w:br w:type="page"/>
      </w:r>
      <w:r>
        <w:rPr>
          <w:rFonts w:ascii="Calibri" w:hAnsi="Calibri" w:cs="Calibri"/>
          <w:b/>
          <w:sz w:val="24"/>
          <w:szCs w:val="24"/>
          <w:lang w:val="en-US"/>
        </w:rPr>
        <w:lastRenderedPageBreak/>
        <w:t xml:space="preserve">Appendix </w:t>
      </w:r>
      <w:r w:rsidRPr="00827A15">
        <w:rPr>
          <w:rFonts w:ascii="Calibri" w:hAnsi="Calibri" w:cs="Calibri"/>
          <w:b/>
          <w:sz w:val="24"/>
          <w:szCs w:val="24"/>
          <w:lang w:val="en-US"/>
        </w:rPr>
        <w:t>I</w:t>
      </w:r>
    </w:p>
    <w:p w:rsidR="00FC0CB8" w:rsidRPr="00827A15" w:rsidRDefault="00FC0CB8" w:rsidP="00827A15">
      <w:pPr>
        <w:rPr>
          <w:rFonts w:ascii="Calibri" w:hAnsi="Calibri" w:cs="Calibri"/>
          <w:b/>
          <w:sz w:val="24"/>
          <w:szCs w:val="24"/>
          <w:lang w:val="en-US"/>
        </w:rPr>
      </w:pPr>
      <w:proofErr w:type="gramStart"/>
      <w:r>
        <w:rPr>
          <w:rFonts w:ascii="Calibri" w:hAnsi="Calibri" w:cs="Calibri"/>
          <w:b/>
          <w:sz w:val="24"/>
          <w:szCs w:val="24"/>
          <w:lang w:val="en-US"/>
        </w:rPr>
        <w:t>Valganciclovir dosing according to renal function for pre-emptive therapy or treatment of CMV disease.</w:t>
      </w:r>
      <w:proofErr w:type="gramEnd"/>
    </w:p>
    <w:p w:rsidR="00FC0CB8" w:rsidRPr="00827A15" w:rsidRDefault="00FC0CB8" w:rsidP="00827A15">
      <w:pPr>
        <w:rPr>
          <w:rFonts w:ascii="Calibri" w:hAnsi="Calibri" w:cs="Calibri"/>
          <w:b/>
          <w:sz w:val="24"/>
          <w:szCs w:val="24"/>
          <w:lang w:val="en-US"/>
        </w:rPr>
      </w:pPr>
    </w:p>
    <w:tbl>
      <w:tblPr>
        <w:tblW w:w="0" w:type="auto"/>
        <w:jc w:val="center"/>
        <w:tblBorders>
          <w:insideH w:val="single" w:sz="6" w:space="0" w:color="auto"/>
          <w:insideV w:val="single" w:sz="6" w:space="0" w:color="auto"/>
        </w:tblBorders>
        <w:tblLayout w:type="fixed"/>
        <w:tblCellMar>
          <w:left w:w="70" w:type="dxa"/>
          <w:right w:w="70" w:type="dxa"/>
        </w:tblCellMar>
        <w:tblLook w:val="0000"/>
      </w:tblPr>
      <w:tblGrid>
        <w:gridCol w:w="3898"/>
        <w:gridCol w:w="3898"/>
      </w:tblGrid>
      <w:tr w:rsidR="00FC0CB8" w:rsidRPr="00827A15" w:rsidTr="00EF3B97">
        <w:trPr>
          <w:jc w:val="center"/>
        </w:trPr>
        <w:tc>
          <w:tcPr>
            <w:tcW w:w="3898" w:type="dxa"/>
            <w:tcBorders>
              <w:top w:val="double" w:sz="12" w:space="0" w:color="auto"/>
              <w:left w:val="double" w:sz="12" w:space="0" w:color="auto"/>
              <w:bottom w:val="nil"/>
            </w:tcBorders>
            <w:shd w:val="pct30" w:color="auto" w:fill="FFFFFF"/>
          </w:tcPr>
          <w:p w:rsidR="00FC0CB8" w:rsidRPr="00827A15" w:rsidRDefault="00FC0CB8" w:rsidP="00EF3B97">
            <w:pPr>
              <w:jc w:val="center"/>
              <w:rPr>
                <w:rFonts w:ascii="Calibri" w:hAnsi="Calibri" w:cs="Calibri"/>
                <w:sz w:val="24"/>
                <w:szCs w:val="24"/>
                <w:lang w:val="en-US"/>
              </w:rPr>
            </w:pPr>
          </w:p>
          <w:p w:rsidR="00FC0CB8" w:rsidRPr="00827A15" w:rsidRDefault="00FC0CB8" w:rsidP="00EF3B97">
            <w:pPr>
              <w:jc w:val="center"/>
              <w:rPr>
                <w:rFonts w:ascii="Calibri" w:hAnsi="Calibri" w:cs="Calibri"/>
                <w:sz w:val="24"/>
                <w:szCs w:val="24"/>
                <w:lang w:val="en-US"/>
              </w:rPr>
            </w:pPr>
            <w:r>
              <w:rPr>
                <w:rFonts w:ascii="Calibri" w:hAnsi="Calibri" w:cs="Calibri"/>
                <w:b/>
                <w:sz w:val="24"/>
                <w:szCs w:val="24"/>
                <w:lang w:val="en-US"/>
              </w:rPr>
              <w:t>Creatinine c</w:t>
            </w:r>
            <w:r w:rsidRPr="00827A15">
              <w:rPr>
                <w:rFonts w:ascii="Calibri" w:hAnsi="Calibri" w:cs="Calibri"/>
                <w:b/>
                <w:sz w:val="24"/>
                <w:szCs w:val="24"/>
                <w:lang w:val="en-US"/>
              </w:rPr>
              <w:t>learance [ml/s]</w:t>
            </w:r>
          </w:p>
          <w:p w:rsidR="00FC0CB8" w:rsidRPr="00827A15" w:rsidRDefault="00FC0CB8" w:rsidP="00EF3B97">
            <w:pPr>
              <w:jc w:val="center"/>
              <w:rPr>
                <w:rFonts w:ascii="Calibri" w:hAnsi="Calibri" w:cs="Calibri"/>
                <w:sz w:val="24"/>
                <w:szCs w:val="24"/>
                <w:lang w:val="en-US"/>
              </w:rPr>
            </w:pPr>
          </w:p>
        </w:tc>
        <w:tc>
          <w:tcPr>
            <w:tcW w:w="3898" w:type="dxa"/>
            <w:tcBorders>
              <w:top w:val="double" w:sz="12" w:space="0" w:color="auto"/>
              <w:bottom w:val="nil"/>
              <w:right w:val="double" w:sz="12" w:space="0" w:color="auto"/>
            </w:tcBorders>
            <w:shd w:val="pct30" w:color="auto" w:fill="FFFFFF"/>
          </w:tcPr>
          <w:p w:rsidR="00FC0CB8" w:rsidRPr="00827A15" w:rsidRDefault="00FC0CB8" w:rsidP="00EF3B97">
            <w:pPr>
              <w:jc w:val="center"/>
              <w:rPr>
                <w:rFonts w:ascii="Calibri" w:hAnsi="Calibri" w:cs="Calibri"/>
                <w:sz w:val="24"/>
                <w:szCs w:val="24"/>
                <w:lang w:val="en-US"/>
              </w:rPr>
            </w:pPr>
          </w:p>
          <w:p w:rsidR="00FC0CB8" w:rsidRPr="00827A15" w:rsidRDefault="00FC0CB8" w:rsidP="00EF3B97">
            <w:pPr>
              <w:jc w:val="center"/>
              <w:rPr>
                <w:rFonts w:ascii="Calibri" w:hAnsi="Calibri" w:cs="Calibri"/>
                <w:sz w:val="24"/>
                <w:szCs w:val="24"/>
                <w:lang w:val="en-US"/>
              </w:rPr>
            </w:pPr>
            <w:r w:rsidRPr="00827A15">
              <w:rPr>
                <w:rFonts w:ascii="Calibri" w:hAnsi="Calibri" w:cs="Calibri"/>
                <w:b/>
                <w:sz w:val="24"/>
                <w:szCs w:val="24"/>
                <w:lang w:val="en-US"/>
              </w:rPr>
              <w:t>D</w:t>
            </w:r>
            <w:r>
              <w:rPr>
                <w:rFonts w:ascii="Calibri" w:hAnsi="Calibri" w:cs="Calibri"/>
                <w:b/>
                <w:sz w:val="24"/>
                <w:szCs w:val="24"/>
                <w:lang w:val="en-US"/>
              </w:rPr>
              <w:t>ose</w:t>
            </w:r>
          </w:p>
        </w:tc>
      </w:tr>
      <w:tr w:rsidR="00FC0CB8" w:rsidRPr="00827A15" w:rsidTr="00EF3B97">
        <w:trPr>
          <w:jc w:val="center"/>
        </w:trPr>
        <w:tc>
          <w:tcPr>
            <w:tcW w:w="3898" w:type="dxa"/>
            <w:tcBorders>
              <w:left w:val="double" w:sz="12" w:space="0" w:color="auto"/>
              <w:bottom w:val="nil"/>
            </w:tcBorders>
            <w:shd w:val="pct12" w:color="auto" w:fill="FFFFFF"/>
          </w:tcPr>
          <w:p w:rsidR="00FC0CB8" w:rsidRPr="00827A15" w:rsidRDefault="00FC0CB8" w:rsidP="00EF3B97">
            <w:pPr>
              <w:jc w:val="center"/>
              <w:rPr>
                <w:rFonts w:ascii="Calibri" w:hAnsi="Calibri" w:cs="Calibri"/>
                <w:sz w:val="24"/>
                <w:szCs w:val="24"/>
                <w:lang w:val="en-US"/>
              </w:rPr>
            </w:pPr>
            <w:r w:rsidRPr="00827A15">
              <w:rPr>
                <w:rFonts w:ascii="Calibri" w:hAnsi="Calibri" w:cs="Calibri"/>
                <w:sz w:val="24"/>
                <w:szCs w:val="24"/>
                <w:lang w:val="en-US"/>
              </w:rPr>
              <w:t>&gt; 1.00</w:t>
            </w:r>
          </w:p>
        </w:tc>
        <w:tc>
          <w:tcPr>
            <w:tcW w:w="3898" w:type="dxa"/>
            <w:tcBorders>
              <w:bottom w:val="nil"/>
              <w:right w:val="double" w:sz="12" w:space="0" w:color="auto"/>
            </w:tcBorders>
            <w:shd w:val="pct12" w:color="auto" w:fill="FFFFFF"/>
          </w:tcPr>
          <w:p w:rsidR="00FC0CB8" w:rsidRPr="00827A15" w:rsidRDefault="00FC0CB8" w:rsidP="001416D8">
            <w:pPr>
              <w:jc w:val="center"/>
              <w:rPr>
                <w:rFonts w:ascii="Calibri" w:hAnsi="Calibri" w:cs="Calibri"/>
                <w:sz w:val="24"/>
                <w:szCs w:val="24"/>
                <w:lang w:val="en-US"/>
              </w:rPr>
            </w:pPr>
            <w:r>
              <w:rPr>
                <w:rFonts w:ascii="Calibri" w:hAnsi="Calibri" w:cs="Calibri"/>
                <w:sz w:val="24"/>
                <w:szCs w:val="24"/>
                <w:lang w:val="en-US"/>
              </w:rPr>
              <w:t>900 mg twice daily</w:t>
            </w:r>
          </w:p>
        </w:tc>
      </w:tr>
      <w:tr w:rsidR="00FC0CB8" w:rsidRPr="00827A15" w:rsidTr="00EF3B97">
        <w:trPr>
          <w:jc w:val="center"/>
        </w:trPr>
        <w:tc>
          <w:tcPr>
            <w:tcW w:w="3898" w:type="dxa"/>
            <w:tcBorders>
              <w:top w:val="nil"/>
              <w:left w:val="double" w:sz="12" w:space="0" w:color="auto"/>
              <w:bottom w:val="nil"/>
            </w:tcBorders>
            <w:shd w:val="pct12" w:color="auto" w:fill="FFFFFF"/>
          </w:tcPr>
          <w:p w:rsidR="00FC0CB8" w:rsidRPr="00827A15" w:rsidRDefault="00FC0CB8" w:rsidP="00EF3B97">
            <w:pPr>
              <w:jc w:val="center"/>
              <w:rPr>
                <w:rFonts w:ascii="Calibri" w:hAnsi="Calibri" w:cs="Calibri"/>
                <w:sz w:val="24"/>
                <w:szCs w:val="24"/>
                <w:lang w:val="en-US"/>
              </w:rPr>
            </w:pPr>
            <w:r w:rsidRPr="00827A15">
              <w:rPr>
                <w:rFonts w:ascii="Calibri" w:hAnsi="Calibri" w:cs="Calibri"/>
                <w:sz w:val="24"/>
                <w:szCs w:val="24"/>
                <w:lang w:val="en-US"/>
              </w:rPr>
              <w:t>0.67 – 0.99</w:t>
            </w:r>
          </w:p>
        </w:tc>
        <w:tc>
          <w:tcPr>
            <w:tcW w:w="3898" w:type="dxa"/>
            <w:tcBorders>
              <w:top w:val="nil"/>
              <w:bottom w:val="nil"/>
              <w:right w:val="double" w:sz="12" w:space="0" w:color="auto"/>
            </w:tcBorders>
            <w:shd w:val="pct12" w:color="auto" w:fill="FFFFFF"/>
          </w:tcPr>
          <w:p w:rsidR="00FC0CB8" w:rsidRPr="00827A15" w:rsidRDefault="00FC0CB8" w:rsidP="001416D8">
            <w:pPr>
              <w:jc w:val="center"/>
              <w:rPr>
                <w:rFonts w:ascii="Calibri" w:hAnsi="Calibri" w:cs="Calibri"/>
                <w:sz w:val="24"/>
                <w:szCs w:val="24"/>
                <w:lang w:val="en-US"/>
              </w:rPr>
            </w:pPr>
            <w:r w:rsidRPr="00827A15">
              <w:rPr>
                <w:rFonts w:ascii="Calibri" w:hAnsi="Calibri" w:cs="Calibri"/>
                <w:sz w:val="24"/>
                <w:szCs w:val="24"/>
                <w:lang w:val="en-US"/>
              </w:rPr>
              <w:t xml:space="preserve">450 mg </w:t>
            </w:r>
            <w:r>
              <w:rPr>
                <w:rFonts w:ascii="Calibri" w:hAnsi="Calibri" w:cs="Calibri"/>
                <w:sz w:val="24"/>
                <w:szCs w:val="24"/>
                <w:lang w:val="en-US"/>
              </w:rPr>
              <w:t>twice daily</w:t>
            </w:r>
          </w:p>
        </w:tc>
      </w:tr>
      <w:tr w:rsidR="00FC0CB8" w:rsidRPr="00827A15" w:rsidTr="00EF3B97">
        <w:trPr>
          <w:jc w:val="center"/>
        </w:trPr>
        <w:tc>
          <w:tcPr>
            <w:tcW w:w="3898" w:type="dxa"/>
            <w:tcBorders>
              <w:top w:val="nil"/>
              <w:left w:val="double" w:sz="12" w:space="0" w:color="auto"/>
              <w:bottom w:val="nil"/>
            </w:tcBorders>
            <w:shd w:val="pct12" w:color="auto" w:fill="FFFFFF"/>
          </w:tcPr>
          <w:p w:rsidR="00FC0CB8" w:rsidRPr="00827A15" w:rsidRDefault="00FC0CB8" w:rsidP="00EF3B97">
            <w:pPr>
              <w:jc w:val="center"/>
              <w:rPr>
                <w:rFonts w:ascii="Calibri" w:hAnsi="Calibri" w:cs="Calibri"/>
                <w:sz w:val="24"/>
                <w:szCs w:val="24"/>
                <w:lang w:val="en-US"/>
              </w:rPr>
            </w:pPr>
            <w:r w:rsidRPr="00827A15">
              <w:rPr>
                <w:rFonts w:ascii="Calibri" w:hAnsi="Calibri" w:cs="Calibri"/>
                <w:sz w:val="24"/>
                <w:szCs w:val="24"/>
                <w:lang w:val="en-US"/>
              </w:rPr>
              <w:t>0.42 – 0.66</w:t>
            </w:r>
          </w:p>
        </w:tc>
        <w:tc>
          <w:tcPr>
            <w:tcW w:w="3898" w:type="dxa"/>
            <w:tcBorders>
              <w:top w:val="nil"/>
              <w:bottom w:val="nil"/>
              <w:right w:val="double" w:sz="12" w:space="0" w:color="auto"/>
            </w:tcBorders>
            <w:shd w:val="pct12" w:color="auto" w:fill="FFFFFF"/>
          </w:tcPr>
          <w:p w:rsidR="00FC0CB8" w:rsidRPr="00827A15" w:rsidRDefault="00FC0CB8" w:rsidP="00EF3B97">
            <w:pPr>
              <w:jc w:val="center"/>
              <w:rPr>
                <w:rFonts w:ascii="Calibri" w:hAnsi="Calibri" w:cs="Calibri"/>
                <w:sz w:val="24"/>
                <w:szCs w:val="24"/>
                <w:lang w:val="en-US"/>
              </w:rPr>
            </w:pPr>
            <w:r>
              <w:rPr>
                <w:rFonts w:ascii="Calibri" w:hAnsi="Calibri" w:cs="Calibri"/>
                <w:sz w:val="24"/>
                <w:szCs w:val="24"/>
                <w:lang w:val="en-US"/>
              </w:rPr>
              <w:t>450 mg per day</w:t>
            </w:r>
          </w:p>
        </w:tc>
      </w:tr>
      <w:tr w:rsidR="00FC0CB8" w:rsidRPr="00827A15" w:rsidTr="00EF3B97">
        <w:trPr>
          <w:jc w:val="center"/>
        </w:trPr>
        <w:tc>
          <w:tcPr>
            <w:tcW w:w="3898" w:type="dxa"/>
            <w:tcBorders>
              <w:top w:val="nil"/>
              <w:left w:val="double" w:sz="12" w:space="0" w:color="auto"/>
              <w:bottom w:val="nil"/>
            </w:tcBorders>
            <w:shd w:val="pct12" w:color="auto" w:fill="FFFFFF"/>
          </w:tcPr>
          <w:p w:rsidR="00FC0CB8" w:rsidRPr="00827A15" w:rsidRDefault="00FC0CB8" w:rsidP="00EF3B97">
            <w:pPr>
              <w:jc w:val="center"/>
              <w:rPr>
                <w:rFonts w:ascii="Calibri" w:hAnsi="Calibri" w:cs="Calibri"/>
                <w:sz w:val="24"/>
                <w:szCs w:val="24"/>
                <w:lang w:val="en-US"/>
              </w:rPr>
            </w:pPr>
            <w:r w:rsidRPr="00827A15">
              <w:rPr>
                <w:rFonts w:ascii="Calibri" w:hAnsi="Calibri" w:cs="Calibri"/>
                <w:sz w:val="24"/>
                <w:szCs w:val="24"/>
                <w:lang w:val="en-US"/>
              </w:rPr>
              <w:t>0.17 – 0.41</w:t>
            </w:r>
          </w:p>
        </w:tc>
        <w:tc>
          <w:tcPr>
            <w:tcW w:w="3898" w:type="dxa"/>
            <w:tcBorders>
              <w:top w:val="nil"/>
              <w:bottom w:val="nil"/>
              <w:right w:val="double" w:sz="12" w:space="0" w:color="auto"/>
            </w:tcBorders>
            <w:shd w:val="pct12" w:color="auto" w:fill="FFFFFF"/>
          </w:tcPr>
          <w:p w:rsidR="00FC0CB8" w:rsidRPr="00827A15" w:rsidRDefault="00FC0CB8" w:rsidP="00EF3B97">
            <w:pPr>
              <w:jc w:val="center"/>
              <w:rPr>
                <w:rFonts w:ascii="Calibri" w:hAnsi="Calibri" w:cs="Calibri"/>
                <w:sz w:val="24"/>
                <w:szCs w:val="24"/>
                <w:lang w:val="en-US"/>
              </w:rPr>
            </w:pPr>
            <w:r>
              <w:rPr>
                <w:rFonts w:ascii="Calibri" w:hAnsi="Calibri" w:cs="Calibri"/>
                <w:sz w:val="24"/>
                <w:szCs w:val="24"/>
                <w:lang w:val="en-US"/>
              </w:rPr>
              <w:t>450 mg every 48 h</w:t>
            </w:r>
          </w:p>
        </w:tc>
      </w:tr>
      <w:tr w:rsidR="00FC0CB8" w:rsidRPr="00827A15" w:rsidTr="00EF3B97">
        <w:trPr>
          <w:jc w:val="center"/>
        </w:trPr>
        <w:tc>
          <w:tcPr>
            <w:tcW w:w="3898" w:type="dxa"/>
            <w:tcBorders>
              <w:top w:val="nil"/>
              <w:left w:val="double" w:sz="12" w:space="0" w:color="auto"/>
              <w:bottom w:val="double" w:sz="12" w:space="0" w:color="auto"/>
            </w:tcBorders>
            <w:shd w:val="pct12" w:color="auto" w:fill="FFFFFF"/>
          </w:tcPr>
          <w:p w:rsidR="00FC0CB8" w:rsidRPr="00827A15" w:rsidRDefault="00FC0CB8" w:rsidP="00EF3B97">
            <w:pPr>
              <w:jc w:val="center"/>
              <w:rPr>
                <w:rFonts w:ascii="Calibri" w:hAnsi="Calibri" w:cs="Calibri"/>
                <w:sz w:val="24"/>
                <w:szCs w:val="24"/>
                <w:lang w:val="en-US"/>
              </w:rPr>
            </w:pPr>
            <w:r>
              <w:rPr>
                <w:rFonts w:ascii="Calibri" w:hAnsi="Calibri" w:cs="Calibri"/>
                <w:sz w:val="24"/>
                <w:szCs w:val="24"/>
                <w:lang w:val="en-US"/>
              </w:rPr>
              <w:t>&lt; 0.17 or hemodialysis</w:t>
            </w:r>
          </w:p>
        </w:tc>
        <w:tc>
          <w:tcPr>
            <w:tcW w:w="3898" w:type="dxa"/>
            <w:tcBorders>
              <w:top w:val="nil"/>
              <w:bottom w:val="double" w:sz="12" w:space="0" w:color="auto"/>
              <w:right w:val="double" w:sz="12" w:space="0" w:color="auto"/>
            </w:tcBorders>
            <w:shd w:val="pct12" w:color="auto" w:fill="FFFFFF"/>
          </w:tcPr>
          <w:p w:rsidR="00FC0CB8" w:rsidRPr="00827A15" w:rsidRDefault="00FC0CB8" w:rsidP="001416D8">
            <w:pPr>
              <w:jc w:val="center"/>
              <w:rPr>
                <w:rFonts w:ascii="Calibri" w:hAnsi="Calibri" w:cs="Calibri"/>
                <w:sz w:val="24"/>
                <w:szCs w:val="24"/>
                <w:lang w:val="en-US"/>
              </w:rPr>
            </w:pPr>
            <w:r>
              <w:rPr>
                <w:rFonts w:ascii="Calibri" w:hAnsi="Calibri" w:cs="Calibri"/>
                <w:sz w:val="24"/>
                <w:szCs w:val="24"/>
                <w:lang w:val="en-US"/>
              </w:rPr>
              <w:t>450 mg three times per</w:t>
            </w:r>
            <w:r w:rsidRPr="00827A15">
              <w:rPr>
                <w:rFonts w:ascii="Calibri" w:hAnsi="Calibri" w:cs="Calibri"/>
                <w:sz w:val="24"/>
                <w:szCs w:val="24"/>
                <w:lang w:val="en-US"/>
              </w:rPr>
              <w:t xml:space="preserve"> </w:t>
            </w:r>
            <w:r>
              <w:rPr>
                <w:rFonts w:ascii="Calibri" w:hAnsi="Calibri" w:cs="Calibri"/>
                <w:sz w:val="24"/>
                <w:szCs w:val="24"/>
                <w:lang w:val="en-US"/>
              </w:rPr>
              <w:t>week</w:t>
            </w:r>
          </w:p>
        </w:tc>
      </w:tr>
    </w:tbl>
    <w:p w:rsidR="00FC0CB8" w:rsidRPr="00827A15" w:rsidRDefault="00FC0CB8">
      <w:pPr>
        <w:spacing w:line="360" w:lineRule="auto"/>
        <w:rPr>
          <w:rFonts w:ascii="Calibri" w:hAnsi="Calibri" w:cs="Calibri"/>
          <w:b/>
          <w:sz w:val="24"/>
          <w:szCs w:val="24"/>
          <w:lang w:val="en-US"/>
        </w:rPr>
      </w:pPr>
    </w:p>
    <w:p w:rsidR="00FC0CB8" w:rsidRDefault="00FC0CB8">
      <w:pPr>
        <w:spacing w:line="360" w:lineRule="auto"/>
        <w:rPr>
          <w:rFonts w:ascii="Calibri" w:hAnsi="Calibri" w:cs="Calibri"/>
          <w:b/>
          <w:sz w:val="24"/>
          <w:szCs w:val="24"/>
          <w:lang w:val="en-US"/>
        </w:rPr>
      </w:pPr>
      <w:r>
        <w:rPr>
          <w:rFonts w:ascii="Calibri" w:hAnsi="Calibri" w:cs="Calibri"/>
          <w:b/>
          <w:sz w:val="24"/>
          <w:szCs w:val="24"/>
          <w:lang w:val="en-US"/>
        </w:rPr>
        <w:t>Appendix</w:t>
      </w:r>
      <w:r w:rsidRPr="00827A15">
        <w:rPr>
          <w:rFonts w:ascii="Calibri" w:hAnsi="Calibri" w:cs="Calibri"/>
          <w:b/>
          <w:sz w:val="24"/>
          <w:szCs w:val="24"/>
          <w:lang w:val="en-US"/>
        </w:rPr>
        <w:t xml:space="preserve"> II</w:t>
      </w:r>
    </w:p>
    <w:p w:rsidR="00FC0CB8" w:rsidRPr="00827A15" w:rsidRDefault="00FC0CB8" w:rsidP="001416D8">
      <w:pPr>
        <w:rPr>
          <w:rFonts w:ascii="Calibri" w:hAnsi="Calibri" w:cs="Calibri"/>
          <w:b/>
          <w:sz w:val="24"/>
          <w:szCs w:val="24"/>
          <w:lang w:val="en-US"/>
        </w:rPr>
      </w:pPr>
      <w:proofErr w:type="gramStart"/>
      <w:r>
        <w:rPr>
          <w:rFonts w:ascii="Calibri" w:hAnsi="Calibri" w:cs="Calibri"/>
          <w:b/>
          <w:sz w:val="24"/>
          <w:szCs w:val="24"/>
          <w:lang w:val="en-US"/>
        </w:rPr>
        <w:t>Valganciclovir dosing according to renal function for prophylaxis.</w:t>
      </w:r>
      <w:proofErr w:type="gramEnd"/>
    </w:p>
    <w:p w:rsidR="00FC0CB8" w:rsidRPr="00827A15" w:rsidRDefault="00FC0CB8">
      <w:pPr>
        <w:rPr>
          <w:rFonts w:ascii="Calibri" w:hAnsi="Calibri" w:cs="Calibri"/>
          <w:b/>
          <w:sz w:val="24"/>
          <w:szCs w:val="24"/>
          <w:lang w:val="en-US"/>
        </w:rPr>
      </w:pPr>
    </w:p>
    <w:tbl>
      <w:tblPr>
        <w:tblW w:w="0" w:type="auto"/>
        <w:jc w:val="center"/>
        <w:tblBorders>
          <w:insideH w:val="single" w:sz="6" w:space="0" w:color="auto"/>
          <w:insideV w:val="single" w:sz="6" w:space="0" w:color="auto"/>
        </w:tblBorders>
        <w:tblLayout w:type="fixed"/>
        <w:tblCellMar>
          <w:left w:w="70" w:type="dxa"/>
          <w:right w:w="70" w:type="dxa"/>
        </w:tblCellMar>
        <w:tblLook w:val="0000"/>
      </w:tblPr>
      <w:tblGrid>
        <w:gridCol w:w="3898"/>
        <w:gridCol w:w="3898"/>
      </w:tblGrid>
      <w:tr w:rsidR="00FC0CB8" w:rsidRPr="00827A15">
        <w:trPr>
          <w:jc w:val="center"/>
        </w:trPr>
        <w:tc>
          <w:tcPr>
            <w:tcW w:w="3898" w:type="dxa"/>
            <w:tcBorders>
              <w:top w:val="double" w:sz="12" w:space="0" w:color="auto"/>
              <w:left w:val="double" w:sz="12" w:space="0" w:color="auto"/>
              <w:bottom w:val="nil"/>
            </w:tcBorders>
            <w:shd w:val="pct30" w:color="auto" w:fill="FFFFFF"/>
          </w:tcPr>
          <w:p w:rsidR="00FC0CB8" w:rsidRPr="00827A15" w:rsidRDefault="00FC0CB8" w:rsidP="00530772">
            <w:pPr>
              <w:jc w:val="center"/>
              <w:rPr>
                <w:rFonts w:ascii="Calibri" w:hAnsi="Calibri" w:cs="Calibri"/>
                <w:sz w:val="24"/>
                <w:szCs w:val="24"/>
                <w:lang w:val="en-US"/>
              </w:rPr>
            </w:pPr>
          </w:p>
          <w:p w:rsidR="00FC0CB8" w:rsidRPr="00827A15" w:rsidRDefault="00FC0CB8" w:rsidP="00530772">
            <w:pPr>
              <w:jc w:val="center"/>
              <w:rPr>
                <w:rFonts w:ascii="Calibri" w:hAnsi="Calibri" w:cs="Calibri"/>
                <w:sz w:val="24"/>
                <w:szCs w:val="24"/>
                <w:lang w:val="en-US"/>
              </w:rPr>
            </w:pPr>
            <w:r>
              <w:rPr>
                <w:rFonts w:ascii="Calibri" w:hAnsi="Calibri" w:cs="Calibri"/>
                <w:b/>
                <w:sz w:val="24"/>
                <w:szCs w:val="24"/>
                <w:lang w:val="en-US"/>
              </w:rPr>
              <w:t>Creatinine c</w:t>
            </w:r>
            <w:r w:rsidRPr="00827A15">
              <w:rPr>
                <w:rFonts w:ascii="Calibri" w:hAnsi="Calibri" w:cs="Calibri"/>
                <w:b/>
                <w:sz w:val="24"/>
                <w:szCs w:val="24"/>
                <w:lang w:val="en-US"/>
              </w:rPr>
              <w:t>learance [ml/s]</w:t>
            </w:r>
          </w:p>
          <w:p w:rsidR="00FC0CB8" w:rsidRPr="00827A15" w:rsidRDefault="00FC0CB8" w:rsidP="00530772">
            <w:pPr>
              <w:jc w:val="center"/>
              <w:rPr>
                <w:rFonts w:ascii="Calibri" w:hAnsi="Calibri" w:cs="Calibri"/>
                <w:sz w:val="24"/>
                <w:szCs w:val="24"/>
                <w:lang w:val="en-US"/>
              </w:rPr>
            </w:pPr>
          </w:p>
        </w:tc>
        <w:tc>
          <w:tcPr>
            <w:tcW w:w="3898" w:type="dxa"/>
            <w:tcBorders>
              <w:top w:val="double" w:sz="12" w:space="0" w:color="auto"/>
              <w:bottom w:val="nil"/>
              <w:right w:val="double" w:sz="12" w:space="0" w:color="auto"/>
            </w:tcBorders>
            <w:shd w:val="pct30" w:color="auto" w:fill="FFFFFF"/>
          </w:tcPr>
          <w:p w:rsidR="00FC0CB8" w:rsidRPr="00827A15" w:rsidRDefault="00FC0CB8" w:rsidP="00530772">
            <w:pPr>
              <w:jc w:val="center"/>
              <w:rPr>
                <w:rFonts w:ascii="Calibri" w:hAnsi="Calibri" w:cs="Calibri"/>
                <w:sz w:val="24"/>
                <w:szCs w:val="24"/>
                <w:lang w:val="en-US"/>
              </w:rPr>
            </w:pPr>
          </w:p>
          <w:p w:rsidR="00FC0CB8" w:rsidRPr="00827A15" w:rsidRDefault="00FC0CB8" w:rsidP="00530772">
            <w:pPr>
              <w:jc w:val="center"/>
              <w:rPr>
                <w:rFonts w:ascii="Calibri" w:hAnsi="Calibri" w:cs="Calibri"/>
                <w:sz w:val="24"/>
                <w:szCs w:val="24"/>
                <w:lang w:val="en-US"/>
              </w:rPr>
            </w:pPr>
            <w:r w:rsidRPr="00827A15">
              <w:rPr>
                <w:rFonts w:ascii="Calibri" w:hAnsi="Calibri" w:cs="Calibri"/>
                <w:b/>
                <w:sz w:val="24"/>
                <w:szCs w:val="24"/>
                <w:lang w:val="en-US"/>
              </w:rPr>
              <w:t>D</w:t>
            </w:r>
            <w:r>
              <w:rPr>
                <w:rFonts w:ascii="Calibri" w:hAnsi="Calibri" w:cs="Calibri"/>
                <w:b/>
                <w:sz w:val="24"/>
                <w:szCs w:val="24"/>
                <w:lang w:val="en-US"/>
              </w:rPr>
              <w:t>ose</w:t>
            </w:r>
          </w:p>
        </w:tc>
      </w:tr>
      <w:tr w:rsidR="00FC0CB8" w:rsidRPr="00827A15">
        <w:trPr>
          <w:jc w:val="center"/>
        </w:trPr>
        <w:tc>
          <w:tcPr>
            <w:tcW w:w="3898" w:type="dxa"/>
            <w:tcBorders>
              <w:left w:val="double" w:sz="12" w:space="0" w:color="auto"/>
              <w:bottom w:val="nil"/>
            </w:tcBorders>
            <w:shd w:val="pct12" w:color="auto" w:fill="FFFFFF"/>
          </w:tcPr>
          <w:p w:rsidR="00FC0CB8" w:rsidRPr="00827A15" w:rsidRDefault="00FC0CB8" w:rsidP="000D0D27">
            <w:pPr>
              <w:jc w:val="center"/>
              <w:rPr>
                <w:rFonts w:ascii="Calibri" w:hAnsi="Calibri" w:cs="Calibri"/>
                <w:sz w:val="24"/>
                <w:szCs w:val="24"/>
                <w:lang w:val="en-US"/>
              </w:rPr>
            </w:pPr>
            <w:r w:rsidRPr="00827A15">
              <w:rPr>
                <w:rFonts w:ascii="Calibri" w:hAnsi="Calibri" w:cs="Calibri"/>
                <w:sz w:val="24"/>
                <w:szCs w:val="24"/>
                <w:lang w:val="en-US"/>
              </w:rPr>
              <w:t>&gt; 1.00</w:t>
            </w:r>
          </w:p>
        </w:tc>
        <w:tc>
          <w:tcPr>
            <w:tcW w:w="3898" w:type="dxa"/>
            <w:tcBorders>
              <w:bottom w:val="nil"/>
              <w:right w:val="double" w:sz="12" w:space="0" w:color="auto"/>
            </w:tcBorders>
            <w:shd w:val="pct12" w:color="auto" w:fill="FFFFFF"/>
          </w:tcPr>
          <w:p w:rsidR="00FC0CB8" w:rsidRPr="00827A15" w:rsidRDefault="00FC0CB8" w:rsidP="000D0D27">
            <w:pPr>
              <w:jc w:val="center"/>
              <w:rPr>
                <w:rFonts w:ascii="Calibri" w:hAnsi="Calibri" w:cs="Calibri"/>
                <w:sz w:val="24"/>
                <w:szCs w:val="24"/>
                <w:lang w:val="en-US"/>
              </w:rPr>
            </w:pPr>
            <w:r>
              <w:rPr>
                <w:rFonts w:ascii="Calibri" w:hAnsi="Calibri" w:cs="Calibri"/>
                <w:sz w:val="24"/>
                <w:szCs w:val="24"/>
                <w:lang w:val="en-US"/>
              </w:rPr>
              <w:t>900 mg per day</w:t>
            </w:r>
          </w:p>
        </w:tc>
      </w:tr>
      <w:tr w:rsidR="00FC0CB8" w:rsidRPr="00827A15">
        <w:trPr>
          <w:jc w:val="center"/>
        </w:trPr>
        <w:tc>
          <w:tcPr>
            <w:tcW w:w="3898" w:type="dxa"/>
            <w:tcBorders>
              <w:top w:val="nil"/>
              <w:left w:val="double" w:sz="12" w:space="0" w:color="auto"/>
              <w:bottom w:val="nil"/>
            </w:tcBorders>
            <w:shd w:val="pct12" w:color="auto" w:fill="FFFFFF"/>
          </w:tcPr>
          <w:p w:rsidR="00FC0CB8" w:rsidRPr="00827A15" w:rsidRDefault="00FC0CB8" w:rsidP="000D0D27">
            <w:pPr>
              <w:jc w:val="center"/>
              <w:rPr>
                <w:rFonts w:ascii="Calibri" w:hAnsi="Calibri" w:cs="Calibri"/>
                <w:sz w:val="24"/>
                <w:szCs w:val="24"/>
                <w:lang w:val="en-US"/>
              </w:rPr>
            </w:pPr>
            <w:r w:rsidRPr="00827A15">
              <w:rPr>
                <w:rFonts w:ascii="Calibri" w:hAnsi="Calibri" w:cs="Calibri"/>
                <w:sz w:val="24"/>
                <w:szCs w:val="24"/>
                <w:lang w:val="en-US"/>
              </w:rPr>
              <w:t>0.67 – 0.99</w:t>
            </w:r>
          </w:p>
        </w:tc>
        <w:tc>
          <w:tcPr>
            <w:tcW w:w="3898" w:type="dxa"/>
            <w:tcBorders>
              <w:top w:val="nil"/>
              <w:bottom w:val="nil"/>
              <w:right w:val="double" w:sz="12" w:space="0" w:color="auto"/>
            </w:tcBorders>
            <w:shd w:val="pct12" w:color="auto" w:fill="FFFFFF"/>
          </w:tcPr>
          <w:p w:rsidR="00FC0CB8" w:rsidRPr="00827A15" w:rsidRDefault="00FC0CB8" w:rsidP="000D0D27">
            <w:pPr>
              <w:jc w:val="center"/>
              <w:rPr>
                <w:rFonts w:ascii="Calibri" w:hAnsi="Calibri" w:cs="Calibri"/>
                <w:sz w:val="24"/>
                <w:szCs w:val="24"/>
                <w:lang w:val="en-US"/>
              </w:rPr>
            </w:pPr>
            <w:r w:rsidRPr="00827A15">
              <w:rPr>
                <w:rFonts w:ascii="Calibri" w:hAnsi="Calibri" w:cs="Calibri"/>
                <w:sz w:val="24"/>
                <w:szCs w:val="24"/>
                <w:lang w:val="en-US"/>
              </w:rPr>
              <w:t xml:space="preserve">450 mg </w:t>
            </w:r>
            <w:r>
              <w:rPr>
                <w:rFonts w:ascii="Calibri" w:hAnsi="Calibri" w:cs="Calibri"/>
                <w:sz w:val="24"/>
                <w:szCs w:val="24"/>
                <w:lang w:val="en-US"/>
              </w:rPr>
              <w:t>per day</w:t>
            </w:r>
          </w:p>
        </w:tc>
      </w:tr>
      <w:tr w:rsidR="00FC0CB8" w:rsidRPr="00827A15">
        <w:trPr>
          <w:jc w:val="center"/>
        </w:trPr>
        <w:tc>
          <w:tcPr>
            <w:tcW w:w="3898" w:type="dxa"/>
            <w:tcBorders>
              <w:top w:val="nil"/>
              <w:left w:val="double" w:sz="12" w:space="0" w:color="auto"/>
              <w:bottom w:val="nil"/>
            </w:tcBorders>
            <w:shd w:val="pct12" w:color="auto" w:fill="FFFFFF"/>
          </w:tcPr>
          <w:p w:rsidR="00FC0CB8" w:rsidRPr="00827A15" w:rsidRDefault="00FC0CB8" w:rsidP="000D0D27">
            <w:pPr>
              <w:jc w:val="center"/>
              <w:rPr>
                <w:rFonts w:ascii="Calibri" w:hAnsi="Calibri" w:cs="Calibri"/>
                <w:sz w:val="24"/>
                <w:szCs w:val="24"/>
                <w:lang w:val="en-US"/>
              </w:rPr>
            </w:pPr>
            <w:r w:rsidRPr="00827A15">
              <w:rPr>
                <w:rFonts w:ascii="Calibri" w:hAnsi="Calibri" w:cs="Calibri"/>
                <w:sz w:val="24"/>
                <w:szCs w:val="24"/>
                <w:lang w:val="en-US"/>
              </w:rPr>
              <w:t>0.42 – 0.66</w:t>
            </w:r>
          </w:p>
        </w:tc>
        <w:tc>
          <w:tcPr>
            <w:tcW w:w="3898" w:type="dxa"/>
            <w:tcBorders>
              <w:top w:val="nil"/>
              <w:bottom w:val="nil"/>
              <w:right w:val="double" w:sz="12" w:space="0" w:color="auto"/>
            </w:tcBorders>
            <w:shd w:val="pct12" w:color="auto" w:fill="FFFFFF"/>
          </w:tcPr>
          <w:p w:rsidR="00FC0CB8" w:rsidRPr="00827A15" w:rsidRDefault="00FC0CB8" w:rsidP="000D0D27">
            <w:pPr>
              <w:jc w:val="center"/>
              <w:rPr>
                <w:rFonts w:ascii="Calibri" w:hAnsi="Calibri" w:cs="Calibri"/>
                <w:sz w:val="24"/>
                <w:szCs w:val="24"/>
                <w:lang w:val="en-US"/>
              </w:rPr>
            </w:pPr>
            <w:r>
              <w:rPr>
                <w:rFonts w:ascii="Calibri" w:hAnsi="Calibri" w:cs="Calibri"/>
                <w:sz w:val="24"/>
                <w:szCs w:val="24"/>
                <w:lang w:val="en-US"/>
              </w:rPr>
              <w:t>450 mg every 48 h</w:t>
            </w:r>
          </w:p>
        </w:tc>
      </w:tr>
      <w:tr w:rsidR="00FC0CB8" w:rsidRPr="00827A15">
        <w:trPr>
          <w:jc w:val="center"/>
        </w:trPr>
        <w:tc>
          <w:tcPr>
            <w:tcW w:w="3898" w:type="dxa"/>
            <w:tcBorders>
              <w:top w:val="nil"/>
              <w:left w:val="double" w:sz="12" w:space="0" w:color="auto"/>
              <w:bottom w:val="nil"/>
            </w:tcBorders>
            <w:shd w:val="pct12" w:color="auto" w:fill="FFFFFF"/>
          </w:tcPr>
          <w:p w:rsidR="00FC0CB8" w:rsidRPr="00827A15" w:rsidRDefault="00FC0CB8" w:rsidP="000D0D27">
            <w:pPr>
              <w:jc w:val="center"/>
              <w:rPr>
                <w:rFonts w:ascii="Calibri" w:hAnsi="Calibri" w:cs="Calibri"/>
                <w:sz w:val="24"/>
                <w:szCs w:val="24"/>
                <w:lang w:val="en-US"/>
              </w:rPr>
            </w:pPr>
            <w:r w:rsidRPr="00827A15">
              <w:rPr>
                <w:rFonts w:ascii="Calibri" w:hAnsi="Calibri" w:cs="Calibri"/>
                <w:sz w:val="24"/>
                <w:szCs w:val="24"/>
                <w:lang w:val="en-US"/>
              </w:rPr>
              <w:t>0.17 – 0.41</w:t>
            </w:r>
          </w:p>
        </w:tc>
        <w:tc>
          <w:tcPr>
            <w:tcW w:w="3898" w:type="dxa"/>
            <w:tcBorders>
              <w:top w:val="nil"/>
              <w:bottom w:val="nil"/>
              <w:right w:val="double" w:sz="12" w:space="0" w:color="auto"/>
            </w:tcBorders>
            <w:shd w:val="pct12" w:color="auto" w:fill="FFFFFF"/>
          </w:tcPr>
          <w:p w:rsidR="00FC0CB8" w:rsidRPr="00827A15" w:rsidRDefault="00FC0CB8" w:rsidP="00664D58">
            <w:pPr>
              <w:jc w:val="center"/>
              <w:rPr>
                <w:rFonts w:ascii="Calibri" w:hAnsi="Calibri" w:cs="Calibri"/>
                <w:sz w:val="24"/>
                <w:szCs w:val="24"/>
                <w:lang w:val="en-US"/>
              </w:rPr>
            </w:pPr>
            <w:r>
              <w:rPr>
                <w:rFonts w:ascii="Calibri" w:hAnsi="Calibri" w:cs="Calibri"/>
                <w:sz w:val="24"/>
                <w:szCs w:val="24"/>
                <w:lang w:val="en-US"/>
              </w:rPr>
              <w:t>450 mg twice weekly</w:t>
            </w:r>
          </w:p>
        </w:tc>
      </w:tr>
      <w:tr w:rsidR="00FC0CB8" w:rsidRPr="00827A15">
        <w:trPr>
          <w:jc w:val="center"/>
        </w:trPr>
        <w:tc>
          <w:tcPr>
            <w:tcW w:w="3898" w:type="dxa"/>
            <w:tcBorders>
              <w:top w:val="nil"/>
              <w:left w:val="double" w:sz="12" w:space="0" w:color="auto"/>
              <w:bottom w:val="double" w:sz="12" w:space="0" w:color="auto"/>
            </w:tcBorders>
            <w:shd w:val="pct12" w:color="auto" w:fill="FFFFFF"/>
          </w:tcPr>
          <w:p w:rsidR="00FC0CB8" w:rsidRPr="00827A15" w:rsidRDefault="00FC0CB8">
            <w:pPr>
              <w:jc w:val="center"/>
              <w:rPr>
                <w:rFonts w:ascii="Calibri" w:hAnsi="Calibri" w:cs="Calibri"/>
                <w:sz w:val="24"/>
                <w:szCs w:val="24"/>
                <w:lang w:val="en-US"/>
              </w:rPr>
            </w:pPr>
            <w:r>
              <w:rPr>
                <w:rFonts w:ascii="Calibri" w:hAnsi="Calibri" w:cs="Calibri"/>
                <w:sz w:val="24"/>
                <w:szCs w:val="24"/>
                <w:lang w:val="en-US"/>
              </w:rPr>
              <w:t>&lt; 0.17 or hemodialysis</w:t>
            </w:r>
          </w:p>
        </w:tc>
        <w:tc>
          <w:tcPr>
            <w:tcW w:w="3898" w:type="dxa"/>
            <w:tcBorders>
              <w:top w:val="nil"/>
              <w:bottom w:val="double" w:sz="12" w:space="0" w:color="auto"/>
              <w:right w:val="double" w:sz="12" w:space="0" w:color="auto"/>
            </w:tcBorders>
            <w:shd w:val="pct12" w:color="auto" w:fill="FFFFFF"/>
          </w:tcPr>
          <w:p w:rsidR="00FC0CB8" w:rsidRPr="00827A15" w:rsidRDefault="00FC0CB8" w:rsidP="00664D58">
            <w:pPr>
              <w:jc w:val="center"/>
              <w:rPr>
                <w:rFonts w:ascii="Calibri" w:hAnsi="Calibri" w:cs="Calibri"/>
                <w:sz w:val="24"/>
                <w:szCs w:val="24"/>
                <w:lang w:val="en-US"/>
              </w:rPr>
            </w:pPr>
            <w:r>
              <w:rPr>
                <w:rFonts w:ascii="Calibri" w:hAnsi="Calibri" w:cs="Calibri"/>
                <w:sz w:val="24"/>
                <w:szCs w:val="24"/>
                <w:lang w:val="en-US"/>
              </w:rPr>
              <w:t>450 mg after hemodialysis</w:t>
            </w:r>
          </w:p>
        </w:tc>
      </w:tr>
    </w:tbl>
    <w:p w:rsidR="00FC0CB8" w:rsidRPr="00827A15" w:rsidRDefault="00FC0CB8">
      <w:pPr>
        <w:spacing w:line="360" w:lineRule="auto"/>
        <w:rPr>
          <w:rFonts w:ascii="Calibri" w:hAnsi="Calibri" w:cs="Calibri"/>
          <w:b/>
          <w:sz w:val="24"/>
          <w:szCs w:val="24"/>
          <w:lang w:val="en-US"/>
        </w:rPr>
      </w:pPr>
    </w:p>
    <w:p w:rsidR="00FC0CB8" w:rsidRPr="00827A15" w:rsidRDefault="00FC0CB8">
      <w:pPr>
        <w:spacing w:line="360" w:lineRule="auto"/>
        <w:rPr>
          <w:rFonts w:ascii="Calibri" w:hAnsi="Calibri" w:cs="Calibri"/>
          <w:b/>
          <w:sz w:val="24"/>
          <w:szCs w:val="24"/>
          <w:lang w:val="en-US"/>
        </w:rPr>
      </w:pPr>
      <w:r>
        <w:rPr>
          <w:rFonts w:ascii="Calibri" w:hAnsi="Calibri" w:cs="Calibri"/>
          <w:b/>
          <w:sz w:val="24"/>
          <w:szCs w:val="24"/>
          <w:lang w:val="en-US"/>
        </w:rPr>
        <w:t>Appendix</w:t>
      </w:r>
      <w:r w:rsidRPr="00827A15">
        <w:rPr>
          <w:rFonts w:ascii="Calibri" w:hAnsi="Calibri" w:cs="Calibri"/>
          <w:b/>
          <w:sz w:val="24"/>
          <w:szCs w:val="24"/>
          <w:lang w:val="en-US"/>
        </w:rPr>
        <w:t xml:space="preserve"> III</w:t>
      </w:r>
    </w:p>
    <w:p w:rsidR="00FC0CB8" w:rsidRPr="001416D8" w:rsidRDefault="00FC0CB8">
      <w:pPr>
        <w:rPr>
          <w:rFonts w:ascii="Calibri" w:hAnsi="Calibri" w:cs="Calibri"/>
          <w:b/>
          <w:sz w:val="24"/>
          <w:szCs w:val="24"/>
          <w:lang w:val="en-US"/>
        </w:rPr>
      </w:pPr>
      <w:proofErr w:type="gramStart"/>
      <w:r>
        <w:rPr>
          <w:rFonts w:ascii="Calibri" w:hAnsi="Calibri" w:cs="Calibri"/>
          <w:b/>
          <w:sz w:val="24"/>
          <w:szCs w:val="24"/>
          <w:lang w:val="en-US"/>
        </w:rPr>
        <w:t>Intravenous ganciclovir dosing according to renal function for pre-emptive therapy or treatment of CMV disease.</w:t>
      </w:r>
      <w:proofErr w:type="gramEnd"/>
    </w:p>
    <w:p w:rsidR="00FC0CB8" w:rsidRPr="00827A15" w:rsidRDefault="00FC0CB8">
      <w:pPr>
        <w:ind w:left="567"/>
        <w:rPr>
          <w:rFonts w:ascii="Calibri" w:hAnsi="Calibri" w:cs="Calibri"/>
          <w:b/>
          <w:i/>
          <w:sz w:val="24"/>
          <w:szCs w:val="24"/>
          <w:lang w:val="en-US"/>
        </w:rPr>
      </w:pPr>
    </w:p>
    <w:tbl>
      <w:tblPr>
        <w:tblW w:w="0" w:type="auto"/>
        <w:jc w:val="center"/>
        <w:tblBorders>
          <w:insideH w:val="single" w:sz="6" w:space="0" w:color="auto"/>
          <w:insideV w:val="single" w:sz="6" w:space="0" w:color="auto"/>
        </w:tblBorders>
        <w:tblLayout w:type="fixed"/>
        <w:tblCellMar>
          <w:left w:w="70" w:type="dxa"/>
          <w:right w:w="70" w:type="dxa"/>
        </w:tblCellMar>
        <w:tblLook w:val="0000"/>
      </w:tblPr>
      <w:tblGrid>
        <w:gridCol w:w="3898"/>
        <w:gridCol w:w="3898"/>
      </w:tblGrid>
      <w:tr w:rsidR="00FC0CB8" w:rsidRPr="00827A15">
        <w:trPr>
          <w:jc w:val="center"/>
        </w:trPr>
        <w:tc>
          <w:tcPr>
            <w:tcW w:w="3898" w:type="dxa"/>
            <w:tcBorders>
              <w:top w:val="double" w:sz="12" w:space="0" w:color="auto"/>
              <w:left w:val="double" w:sz="12" w:space="0" w:color="auto"/>
              <w:bottom w:val="nil"/>
            </w:tcBorders>
            <w:shd w:val="pct30" w:color="auto" w:fill="FFFFFF"/>
          </w:tcPr>
          <w:p w:rsidR="00FC0CB8" w:rsidRPr="00827A15" w:rsidRDefault="00FC0CB8" w:rsidP="00530772">
            <w:pPr>
              <w:jc w:val="center"/>
              <w:rPr>
                <w:rFonts w:ascii="Calibri" w:hAnsi="Calibri" w:cs="Calibri"/>
                <w:sz w:val="24"/>
                <w:szCs w:val="24"/>
                <w:lang w:val="en-US"/>
              </w:rPr>
            </w:pPr>
          </w:p>
          <w:p w:rsidR="00FC0CB8" w:rsidRPr="00827A15" w:rsidRDefault="00FC0CB8" w:rsidP="00530772">
            <w:pPr>
              <w:jc w:val="center"/>
              <w:rPr>
                <w:rFonts w:ascii="Calibri" w:hAnsi="Calibri" w:cs="Calibri"/>
                <w:sz w:val="24"/>
                <w:szCs w:val="24"/>
                <w:lang w:val="en-US"/>
              </w:rPr>
            </w:pPr>
            <w:r>
              <w:rPr>
                <w:rFonts w:ascii="Calibri" w:hAnsi="Calibri" w:cs="Calibri"/>
                <w:b/>
                <w:sz w:val="24"/>
                <w:szCs w:val="24"/>
                <w:lang w:val="en-US"/>
              </w:rPr>
              <w:t>Creatinine c</w:t>
            </w:r>
            <w:r w:rsidRPr="00827A15">
              <w:rPr>
                <w:rFonts w:ascii="Calibri" w:hAnsi="Calibri" w:cs="Calibri"/>
                <w:b/>
                <w:sz w:val="24"/>
                <w:szCs w:val="24"/>
                <w:lang w:val="en-US"/>
              </w:rPr>
              <w:t>learance [ml/s]</w:t>
            </w:r>
          </w:p>
          <w:p w:rsidR="00FC0CB8" w:rsidRPr="00827A15" w:rsidRDefault="00FC0CB8" w:rsidP="00530772">
            <w:pPr>
              <w:jc w:val="center"/>
              <w:rPr>
                <w:rFonts w:ascii="Calibri" w:hAnsi="Calibri" w:cs="Calibri"/>
                <w:sz w:val="24"/>
                <w:szCs w:val="24"/>
                <w:lang w:val="en-US"/>
              </w:rPr>
            </w:pPr>
          </w:p>
        </w:tc>
        <w:tc>
          <w:tcPr>
            <w:tcW w:w="3898" w:type="dxa"/>
            <w:tcBorders>
              <w:top w:val="double" w:sz="12" w:space="0" w:color="auto"/>
              <w:bottom w:val="nil"/>
              <w:right w:val="double" w:sz="12" w:space="0" w:color="auto"/>
            </w:tcBorders>
            <w:shd w:val="pct30" w:color="auto" w:fill="FFFFFF"/>
          </w:tcPr>
          <w:p w:rsidR="00FC0CB8" w:rsidRPr="00827A15" w:rsidRDefault="00FC0CB8" w:rsidP="00530772">
            <w:pPr>
              <w:jc w:val="center"/>
              <w:rPr>
                <w:rFonts w:ascii="Calibri" w:hAnsi="Calibri" w:cs="Calibri"/>
                <w:sz w:val="24"/>
                <w:szCs w:val="24"/>
                <w:lang w:val="en-US"/>
              </w:rPr>
            </w:pPr>
          </w:p>
          <w:p w:rsidR="00FC0CB8" w:rsidRPr="00827A15" w:rsidRDefault="00FC0CB8" w:rsidP="00530772">
            <w:pPr>
              <w:jc w:val="center"/>
              <w:rPr>
                <w:rFonts w:ascii="Calibri" w:hAnsi="Calibri" w:cs="Calibri"/>
                <w:sz w:val="24"/>
                <w:szCs w:val="24"/>
                <w:lang w:val="en-US"/>
              </w:rPr>
            </w:pPr>
            <w:r w:rsidRPr="00827A15">
              <w:rPr>
                <w:rFonts w:ascii="Calibri" w:hAnsi="Calibri" w:cs="Calibri"/>
                <w:b/>
                <w:sz w:val="24"/>
                <w:szCs w:val="24"/>
                <w:lang w:val="en-US"/>
              </w:rPr>
              <w:t>D</w:t>
            </w:r>
            <w:r>
              <w:rPr>
                <w:rFonts w:ascii="Calibri" w:hAnsi="Calibri" w:cs="Calibri"/>
                <w:b/>
                <w:sz w:val="24"/>
                <w:szCs w:val="24"/>
                <w:lang w:val="en-US"/>
              </w:rPr>
              <w:t>ose</w:t>
            </w:r>
          </w:p>
        </w:tc>
      </w:tr>
      <w:tr w:rsidR="00FC0CB8" w:rsidRPr="00827A15">
        <w:trPr>
          <w:jc w:val="center"/>
        </w:trPr>
        <w:tc>
          <w:tcPr>
            <w:tcW w:w="3898" w:type="dxa"/>
            <w:tcBorders>
              <w:left w:val="double" w:sz="12" w:space="0" w:color="auto"/>
              <w:bottom w:val="nil"/>
            </w:tcBorders>
            <w:shd w:val="pct12" w:color="auto" w:fill="FFFFFF"/>
          </w:tcPr>
          <w:p w:rsidR="00FC0CB8" w:rsidRPr="00827A15" w:rsidRDefault="00FC0CB8">
            <w:pPr>
              <w:jc w:val="center"/>
              <w:rPr>
                <w:rFonts w:ascii="Calibri" w:hAnsi="Calibri" w:cs="Calibri"/>
                <w:sz w:val="24"/>
                <w:szCs w:val="24"/>
                <w:lang w:val="en-US"/>
              </w:rPr>
            </w:pPr>
            <w:r w:rsidRPr="00827A15">
              <w:rPr>
                <w:rFonts w:ascii="Calibri" w:hAnsi="Calibri" w:cs="Calibri"/>
                <w:sz w:val="24"/>
                <w:szCs w:val="24"/>
                <w:lang w:val="en-US"/>
              </w:rPr>
              <w:sym w:font="Symbol" w:char="F0B3"/>
            </w:r>
            <w:r w:rsidRPr="00827A15">
              <w:rPr>
                <w:rFonts w:ascii="Calibri" w:hAnsi="Calibri" w:cs="Calibri"/>
                <w:sz w:val="24"/>
                <w:szCs w:val="24"/>
                <w:lang w:val="en-US"/>
              </w:rPr>
              <w:t xml:space="preserve"> 1.17</w:t>
            </w:r>
          </w:p>
        </w:tc>
        <w:tc>
          <w:tcPr>
            <w:tcW w:w="3898" w:type="dxa"/>
            <w:tcBorders>
              <w:bottom w:val="nil"/>
              <w:right w:val="double" w:sz="12" w:space="0" w:color="auto"/>
            </w:tcBorders>
            <w:shd w:val="pct12" w:color="auto" w:fill="FFFFFF"/>
          </w:tcPr>
          <w:p w:rsidR="00FC0CB8" w:rsidRPr="00827A15" w:rsidRDefault="00FC0CB8">
            <w:pPr>
              <w:jc w:val="center"/>
              <w:rPr>
                <w:rFonts w:ascii="Calibri" w:hAnsi="Calibri" w:cs="Calibri"/>
                <w:sz w:val="24"/>
                <w:szCs w:val="24"/>
                <w:lang w:val="en-US"/>
              </w:rPr>
            </w:pPr>
            <w:r w:rsidRPr="00827A15">
              <w:rPr>
                <w:rFonts w:ascii="Calibri" w:hAnsi="Calibri" w:cs="Calibri"/>
                <w:sz w:val="24"/>
                <w:szCs w:val="24"/>
                <w:lang w:val="en-US"/>
              </w:rPr>
              <w:t>5.0 mg/kg/12</w:t>
            </w:r>
            <w:r>
              <w:rPr>
                <w:rFonts w:ascii="Calibri" w:hAnsi="Calibri" w:cs="Calibri"/>
                <w:sz w:val="24"/>
                <w:szCs w:val="24"/>
                <w:lang w:val="en-US"/>
              </w:rPr>
              <w:t xml:space="preserve"> h</w:t>
            </w:r>
          </w:p>
        </w:tc>
      </w:tr>
      <w:tr w:rsidR="00FC0CB8" w:rsidRPr="00827A15">
        <w:trPr>
          <w:jc w:val="center"/>
        </w:trPr>
        <w:tc>
          <w:tcPr>
            <w:tcW w:w="3898" w:type="dxa"/>
            <w:tcBorders>
              <w:top w:val="nil"/>
              <w:left w:val="double" w:sz="12" w:space="0" w:color="auto"/>
              <w:bottom w:val="nil"/>
            </w:tcBorders>
            <w:shd w:val="pct12" w:color="auto" w:fill="FFFFFF"/>
          </w:tcPr>
          <w:p w:rsidR="00FC0CB8" w:rsidRPr="00827A15" w:rsidRDefault="00FC0CB8">
            <w:pPr>
              <w:jc w:val="center"/>
              <w:rPr>
                <w:rFonts w:ascii="Calibri" w:hAnsi="Calibri" w:cs="Calibri"/>
                <w:sz w:val="24"/>
                <w:szCs w:val="24"/>
                <w:lang w:val="en-US"/>
              </w:rPr>
            </w:pPr>
            <w:r w:rsidRPr="00827A15">
              <w:rPr>
                <w:rFonts w:ascii="Calibri" w:hAnsi="Calibri" w:cs="Calibri"/>
                <w:sz w:val="24"/>
                <w:szCs w:val="24"/>
                <w:lang w:val="en-US"/>
              </w:rPr>
              <w:t>0.85 – 1.16</w:t>
            </w:r>
          </w:p>
        </w:tc>
        <w:tc>
          <w:tcPr>
            <w:tcW w:w="3898" w:type="dxa"/>
            <w:tcBorders>
              <w:top w:val="nil"/>
              <w:bottom w:val="nil"/>
              <w:right w:val="double" w:sz="12" w:space="0" w:color="auto"/>
            </w:tcBorders>
            <w:shd w:val="pct12" w:color="auto" w:fill="FFFFFF"/>
          </w:tcPr>
          <w:p w:rsidR="00FC0CB8" w:rsidRPr="00827A15" w:rsidRDefault="00FC0CB8">
            <w:pPr>
              <w:jc w:val="center"/>
              <w:rPr>
                <w:rFonts w:ascii="Calibri" w:hAnsi="Calibri" w:cs="Calibri"/>
                <w:sz w:val="24"/>
                <w:szCs w:val="24"/>
                <w:lang w:val="en-US"/>
              </w:rPr>
            </w:pPr>
            <w:r>
              <w:rPr>
                <w:rFonts w:ascii="Calibri" w:hAnsi="Calibri" w:cs="Calibri"/>
                <w:sz w:val="24"/>
                <w:szCs w:val="24"/>
                <w:lang w:val="en-US"/>
              </w:rPr>
              <w:t>5.0 mg/kg/24 h</w:t>
            </w:r>
          </w:p>
        </w:tc>
      </w:tr>
      <w:tr w:rsidR="00FC0CB8" w:rsidRPr="00827A15">
        <w:trPr>
          <w:jc w:val="center"/>
        </w:trPr>
        <w:tc>
          <w:tcPr>
            <w:tcW w:w="3898" w:type="dxa"/>
            <w:tcBorders>
              <w:top w:val="nil"/>
              <w:left w:val="double" w:sz="12" w:space="0" w:color="auto"/>
              <w:bottom w:val="nil"/>
            </w:tcBorders>
            <w:shd w:val="pct12" w:color="auto" w:fill="FFFFFF"/>
          </w:tcPr>
          <w:p w:rsidR="00FC0CB8" w:rsidRPr="00827A15" w:rsidRDefault="00FC0CB8">
            <w:pPr>
              <w:jc w:val="center"/>
              <w:rPr>
                <w:rFonts w:ascii="Calibri" w:hAnsi="Calibri" w:cs="Calibri"/>
                <w:sz w:val="24"/>
                <w:szCs w:val="24"/>
                <w:lang w:val="en-US"/>
              </w:rPr>
            </w:pPr>
            <w:r w:rsidRPr="00827A15">
              <w:rPr>
                <w:rFonts w:ascii="Calibri" w:hAnsi="Calibri" w:cs="Calibri"/>
                <w:sz w:val="24"/>
                <w:szCs w:val="24"/>
                <w:lang w:val="en-US"/>
              </w:rPr>
              <w:t>0.85 – 0.42</w:t>
            </w:r>
          </w:p>
        </w:tc>
        <w:tc>
          <w:tcPr>
            <w:tcW w:w="3898" w:type="dxa"/>
            <w:tcBorders>
              <w:top w:val="nil"/>
              <w:bottom w:val="nil"/>
              <w:right w:val="double" w:sz="12" w:space="0" w:color="auto"/>
            </w:tcBorders>
            <w:shd w:val="pct12" w:color="auto" w:fill="FFFFFF"/>
          </w:tcPr>
          <w:p w:rsidR="00FC0CB8" w:rsidRPr="00827A15" w:rsidRDefault="00FC0CB8">
            <w:pPr>
              <w:jc w:val="center"/>
              <w:rPr>
                <w:rFonts w:ascii="Calibri" w:hAnsi="Calibri" w:cs="Calibri"/>
                <w:sz w:val="24"/>
                <w:szCs w:val="24"/>
                <w:lang w:val="en-US"/>
              </w:rPr>
            </w:pPr>
            <w:r>
              <w:rPr>
                <w:rFonts w:ascii="Calibri" w:hAnsi="Calibri" w:cs="Calibri"/>
                <w:sz w:val="24"/>
                <w:szCs w:val="24"/>
                <w:lang w:val="en-US"/>
              </w:rPr>
              <w:t>2.5 mg/kg/24 h</w:t>
            </w:r>
          </w:p>
        </w:tc>
      </w:tr>
      <w:tr w:rsidR="00FC0CB8" w:rsidRPr="00827A15">
        <w:trPr>
          <w:jc w:val="center"/>
        </w:trPr>
        <w:tc>
          <w:tcPr>
            <w:tcW w:w="3898" w:type="dxa"/>
            <w:tcBorders>
              <w:top w:val="nil"/>
              <w:left w:val="double" w:sz="12" w:space="0" w:color="auto"/>
              <w:bottom w:val="nil"/>
            </w:tcBorders>
            <w:shd w:val="pct12" w:color="auto" w:fill="FFFFFF"/>
          </w:tcPr>
          <w:p w:rsidR="00FC0CB8" w:rsidRPr="00827A15" w:rsidRDefault="00FC0CB8">
            <w:pPr>
              <w:jc w:val="center"/>
              <w:rPr>
                <w:rFonts w:ascii="Calibri" w:hAnsi="Calibri" w:cs="Calibri"/>
                <w:sz w:val="24"/>
                <w:szCs w:val="24"/>
                <w:lang w:val="en-US"/>
              </w:rPr>
            </w:pPr>
            <w:r w:rsidRPr="00827A15">
              <w:rPr>
                <w:rFonts w:ascii="Calibri" w:hAnsi="Calibri" w:cs="Calibri"/>
                <w:sz w:val="24"/>
                <w:szCs w:val="24"/>
                <w:lang w:val="en-US"/>
              </w:rPr>
              <w:t>0.41 – 0.17</w:t>
            </w:r>
          </w:p>
        </w:tc>
        <w:tc>
          <w:tcPr>
            <w:tcW w:w="3898" w:type="dxa"/>
            <w:tcBorders>
              <w:top w:val="nil"/>
              <w:bottom w:val="nil"/>
              <w:right w:val="double" w:sz="12" w:space="0" w:color="auto"/>
            </w:tcBorders>
            <w:shd w:val="pct12" w:color="auto" w:fill="FFFFFF"/>
          </w:tcPr>
          <w:p w:rsidR="00FC0CB8" w:rsidRPr="00827A15" w:rsidRDefault="00FC0CB8">
            <w:pPr>
              <w:jc w:val="center"/>
              <w:rPr>
                <w:rFonts w:ascii="Calibri" w:hAnsi="Calibri" w:cs="Calibri"/>
                <w:sz w:val="24"/>
                <w:szCs w:val="24"/>
                <w:lang w:val="en-US"/>
              </w:rPr>
            </w:pPr>
            <w:r>
              <w:rPr>
                <w:rFonts w:ascii="Calibri" w:hAnsi="Calibri" w:cs="Calibri"/>
                <w:sz w:val="24"/>
                <w:szCs w:val="24"/>
                <w:lang w:val="en-US"/>
              </w:rPr>
              <w:t>1.25 mg/kg/24 h</w:t>
            </w:r>
          </w:p>
        </w:tc>
      </w:tr>
      <w:tr w:rsidR="00FC0CB8" w:rsidRPr="00827A15">
        <w:trPr>
          <w:jc w:val="center"/>
        </w:trPr>
        <w:tc>
          <w:tcPr>
            <w:tcW w:w="3898" w:type="dxa"/>
            <w:tcBorders>
              <w:top w:val="nil"/>
              <w:left w:val="double" w:sz="12" w:space="0" w:color="auto"/>
              <w:bottom w:val="double" w:sz="12" w:space="0" w:color="auto"/>
            </w:tcBorders>
            <w:shd w:val="pct12" w:color="auto" w:fill="FFFFFF"/>
          </w:tcPr>
          <w:p w:rsidR="00FC0CB8" w:rsidRPr="00827A15" w:rsidRDefault="00FC0CB8">
            <w:pPr>
              <w:jc w:val="center"/>
              <w:rPr>
                <w:rFonts w:ascii="Calibri" w:hAnsi="Calibri" w:cs="Calibri"/>
                <w:sz w:val="24"/>
                <w:szCs w:val="24"/>
                <w:lang w:val="en-US"/>
              </w:rPr>
            </w:pPr>
            <w:r>
              <w:rPr>
                <w:rFonts w:ascii="Calibri" w:hAnsi="Calibri" w:cs="Calibri"/>
                <w:sz w:val="24"/>
                <w:szCs w:val="24"/>
                <w:lang w:val="en-US"/>
              </w:rPr>
              <w:t>&lt; 0.17 or hemodialysis</w:t>
            </w:r>
          </w:p>
        </w:tc>
        <w:tc>
          <w:tcPr>
            <w:tcW w:w="3898" w:type="dxa"/>
            <w:tcBorders>
              <w:top w:val="nil"/>
              <w:bottom w:val="double" w:sz="12" w:space="0" w:color="auto"/>
              <w:right w:val="double" w:sz="12" w:space="0" w:color="auto"/>
            </w:tcBorders>
            <w:shd w:val="pct12" w:color="auto" w:fill="FFFFFF"/>
          </w:tcPr>
          <w:p w:rsidR="00FC0CB8" w:rsidRPr="00827A15" w:rsidRDefault="00FC0CB8" w:rsidP="00DB14A8">
            <w:pPr>
              <w:jc w:val="center"/>
              <w:rPr>
                <w:rFonts w:ascii="Calibri" w:hAnsi="Calibri" w:cs="Calibri"/>
                <w:sz w:val="24"/>
                <w:szCs w:val="24"/>
                <w:lang w:val="en-US"/>
              </w:rPr>
            </w:pPr>
            <w:r>
              <w:rPr>
                <w:rFonts w:ascii="Calibri" w:hAnsi="Calibri" w:cs="Calibri"/>
                <w:sz w:val="24"/>
                <w:szCs w:val="24"/>
                <w:lang w:val="en-US"/>
              </w:rPr>
              <w:t>1.25 mg/kg three times per week</w:t>
            </w:r>
          </w:p>
        </w:tc>
      </w:tr>
    </w:tbl>
    <w:p w:rsidR="00FC0CB8" w:rsidRDefault="00FC0CB8">
      <w:pPr>
        <w:spacing w:line="360" w:lineRule="auto"/>
        <w:rPr>
          <w:rFonts w:ascii="Calibri" w:hAnsi="Calibri" w:cs="Calibri"/>
          <w:b/>
          <w:sz w:val="24"/>
          <w:szCs w:val="24"/>
          <w:lang w:val="en-US"/>
        </w:rPr>
      </w:pPr>
    </w:p>
    <w:p w:rsidR="00FC0CB8" w:rsidRPr="00827A15" w:rsidRDefault="00FC0CB8" w:rsidP="00FF499C">
      <w:pPr>
        <w:spacing w:line="360" w:lineRule="auto"/>
        <w:rPr>
          <w:rFonts w:ascii="Calibri" w:hAnsi="Calibri" w:cs="Calibri"/>
          <w:b/>
          <w:sz w:val="24"/>
          <w:szCs w:val="24"/>
          <w:lang w:val="en-US"/>
        </w:rPr>
      </w:pPr>
      <w:r>
        <w:rPr>
          <w:rFonts w:ascii="Calibri" w:hAnsi="Calibri" w:cs="Calibri"/>
          <w:b/>
          <w:sz w:val="24"/>
          <w:szCs w:val="24"/>
          <w:lang w:val="en-US"/>
        </w:rPr>
        <w:br w:type="page"/>
      </w:r>
      <w:r>
        <w:rPr>
          <w:rFonts w:ascii="Calibri" w:hAnsi="Calibri" w:cs="Calibri"/>
          <w:b/>
          <w:sz w:val="24"/>
          <w:szCs w:val="24"/>
          <w:lang w:val="en-US"/>
        </w:rPr>
        <w:lastRenderedPageBreak/>
        <w:t>Appendix IV</w:t>
      </w:r>
    </w:p>
    <w:p w:rsidR="00FC0CB8" w:rsidRPr="001416D8" w:rsidRDefault="00FC0CB8" w:rsidP="00FF499C">
      <w:pPr>
        <w:rPr>
          <w:rFonts w:ascii="Calibri" w:hAnsi="Calibri" w:cs="Calibri"/>
          <w:b/>
          <w:sz w:val="24"/>
          <w:szCs w:val="24"/>
          <w:lang w:val="en-US"/>
        </w:rPr>
      </w:pPr>
      <w:proofErr w:type="gramStart"/>
      <w:r>
        <w:rPr>
          <w:rFonts w:ascii="Calibri" w:hAnsi="Calibri" w:cs="Calibri"/>
          <w:b/>
          <w:sz w:val="24"/>
          <w:szCs w:val="24"/>
          <w:lang w:val="en-US"/>
        </w:rPr>
        <w:t>Intravenous ganciclovir dosing according to renal function for prophylaxis.</w:t>
      </w:r>
      <w:proofErr w:type="gramEnd"/>
    </w:p>
    <w:p w:rsidR="00FC0CB8" w:rsidRPr="00827A15" w:rsidRDefault="00FC0CB8" w:rsidP="00FF499C">
      <w:pPr>
        <w:ind w:left="567"/>
        <w:rPr>
          <w:rFonts w:ascii="Calibri" w:hAnsi="Calibri" w:cs="Calibri"/>
          <w:b/>
          <w:i/>
          <w:sz w:val="24"/>
          <w:szCs w:val="24"/>
          <w:lang w:val="en-US"/>
        </w:rPr>
      </w:pPr>
    </w:p>
    <w:tbl>
      <w:tblPr>
        <w:tblW w:w="0" w:type="auto"/>
        <w:jc w:val="center"/>
        <w:tblBorders>
          <w:insideH w:val="single" w:sz="6" w:space="0" w:color="auto"/>
          <w:insideV w:val="single" w:sz="6" w:space="0" w:color="auto"/>
        </w:tblBorders>
        <w:tblLayout w:type="fixed"/>
        <w:tblCellMar>
          <w:left w:w="70" w:type="dxa"/>
          <w:right w:w="70" w:type="dxa"/>
        </w:tblCellMar>
        <w:tblLook w:val="0000"/>
      </w:tblPr>
      <w:tblGrid>
        <w:gridCol w:w="3898"/>
        <w:gridCol w:w="3898"/>
      </w:tblGrid>
      <w:tr w:rsidR="00FC0CB8" w:rsidRPr="00827A15" w:rsidTr="000D0D27">
        <w:trPr>
          <w:jc w:val="center"/>
        </w:trPr>
        <w:tc>
          <w:tcPr>
            <w:tcW w:w="3898" w:type="dxa"/>
            <w:tcBorders>
              <w:top w:val="double" w:sz="12" w:space="0" w:color="auto"/>
              <w:left w:val="double" w:sz="12" w:space="0" w:color="auto"/>
              <w:bottom w:val="nil"/>
            </w:tcBorders>
            <w:shd w:val="pct30" w:color="auto" w:fill="FFFFFF"/>
          </w:tcPr>
          <w:p w:rsidR="00FC0CB8" w:rsidRPr="00827A15" w:rsidRDefault="00FC0CB8" w:rsidP="000D0D27">
            <w:pPr>
              <w:jc w:val="center"/>
              <w:rPr>
                <w:rFonts w:ascii="Calibri" w:hAnsi="Calibri" w:cs="Calibri"/>
                <w:sz w:val="24"/>
                <w:szCs w:val="24"/>
                <w:lang w:val="en-US"/>
              </w:rPr>
            </w:pPr>
          </w:p>
          <w:p w:rsidR="00FC0CB8" w:rsidRPr="00827A15" w:rsidRDefault="00FC0CB8" w:rsidP="000D0D27">
            <w:pPr>
              <w:jc w:val="center"/>
              <w:rPr>
                <w:rFonts w:ascii="Calibri" w:hAnsi="Calibri" w:cs="Calibri"/>
                <w:sz w:val="24"/>
                <w:szCs w:val="24"/>
                <w:lang w:val="en-US"/>
              </w:rPr>
            </w:pPr>
            <w:r>
              <w:rPr>
                <w:rFonts w:ascii="Calibri" w:hAnsi="Calibri" w:cs="Calibri"/>
                <w:b/>
                <w:sz w:val="24"/>
                <w:szCs w:val="24"/>
                <w:lang w:val="en-US"/>
              </w:rPr>
              <w:t>Creatinine c</w:t>
            </w:r>
            <w:r w:rsidRPr="00827A15">
              <w:rPr>
                <w:rFonts w:ascii="Calibri" w:hAnsi="Calibri" w:cs="Calibri"/>
                <w:b/>
                <w:sz w:val="24"/>
                <w:szCs w:val="24"/>
                <w:lang w:val="en-US"/>
              </w:rPr>
              <w:t>learance [ml/s]</w:t>
            </w:r>
          </w:p>
          <w:p w:rsidR="00FC0CB8" w:rsidRPr="00827A15" w:rsidRDefault="00FC0CB8" w:rsidP="000D0D27">
            <w:pPr>
              <w:jc w:val="center"/>
              <w:rPr>
                <w:rFonts w:ascii="Calibri" w:hAnsi="Calibri" w:cs="Calibri"/>
                <w:sz w:val="24"/>
                <w:szCs w:val="24"/>
                <w:lang w:val="en-US"/>
              </w:rPr>
            </w:pPr>
          </w:p>
        </w:tc>
        <w:tc>
          <w:tcPr>
            <w:tcW w:w="3898" w:type="dxa"/>
            <w:tcBorders>
              <w:top w:val="double" w:sz="12" w:space="0" w:color="auto"/>
              <w:bottom w:val="nil"/>
              <w:right w:val="double" w:sz="12" w:space="0" w:color="auto"/>
            </w:tcBorders>
            <w:shd w:val="pct30" w:color="auto" w:fill="FFFFFF"/>
          </w:tcPr>
          <w:p w:rsidR="00FC0CB8" w:rsidRPr="00827A15" w:rsidRDefault="00FC0CB8" w:rsidP="000D0D27">
            <w:pPr>
              <w:jc w:val="center"/>
              <w:rPr>
                <w:rFonts w:ascii="Calibri" w:hAnsi="Calibri" w:cs="Calibri"/>
                <w:sz w:val="24"/>
                <w:szCs w:val="24"/>
                <w:lang w:val="en-US"/>
              </w:rPr>
            </w:pPr>
          </w:p>
          <w:p w:rsidR="00FC0CB8" w:rsidRPr="00827A15" w:rsidRDefault="00FC0CB8" w:rsidP="000D0D27">
            <w:pPr>
              <w:jc w:val="center"/>
              <w:rPr>
                <w:rFonts w:ascii="Calibri" w:hAnsi="Calibri" w:cs="Calibri"/>
                <w:sz w:val="24"/>
                <w:szCs w:val="24"/>
                <w:lang w:val="en-US"/>
              </w:rPr>
            </w:pPr>
            <w:r w:rsidRPr="00827A15">
              <w:rPr>
                <w:rFonts w:ascii="Calibri" w:hAnsi="Calibri" w:cs="Calibri"/>
                <w:b/>
                <w:sz w:val="24"/>
                <w:szCs w:val="24"/>
                <w:lang w:val="en-US"/>
              </w:rPr>
              <w:t>D</w:t>
            </w:r>
            <w:r>
              <w:rPr>
                <w:rFonts w:ascii="Calibri" w:hAnsi="Calibri" w:cs="Calibri"/>
                <w:b/>
                <w:sz w:val="24"/>
                <w:szCs w:val="24"/>
                <w:lang w:val="en-US"/>
              </w:rPr>
              <w:t>ose</w:t>
            </w:r>
          </w:p>
        </w:tc>
      </w:tr>
      <w:tr w:rsidR="00FC0CB8" w:rsidRPr="00827A15" w:rsidTr="000D0D27">
        <w:trPr>
          <w:jc w:val="center"/>
        </w:trPr>
        <w:tc>
          <w:tcPr>
            <w:tcW w:w="3898" w:type="dxa"/>
            <w:tcBorders>
              <w:left w:val="double" w:sz="12" w:space="0" w:color="auto"/>
              <w:bottom w:val="nil"/>
            </w:tcBorders>
            <w:shd w:val="pct12" w:color="auto" w:fill="FFFFFF"/>
          </w:tcPr>
          <w:p w:rsidR="00FC0CB8" w:rsidRPr="00827A15" w:rsidRDefault="00FC0CB8" w:rsidP="000D0D27">
            <w:pPr>
              <w:jc w:val="center"/>
              <w:rPr>
                <w:rFonts w:ascii="Calibri" w:hAnsi="Calibri" w:cs="Calibri"/>
                <w:sz w:val="24"/>
                <w:szCs w:val="24"/>
                <w:lang w:val="en-US"/>
              </w:rPr>
            </w:pPr>
            <w:r w:rsidRPr="00827A15">
              <w:rPr>
                <w:rFonts w:ascii="Calibri" w:hAnsi="Calibri" w:cs="Calibri"/>
                <w:sz w:val="24"/>
                <w:szCs w:val="24"/>
                <w:lang w:val="en-US"/>
              </w:rPr>
              <w:sym w:font="Symbol" w:char="F0B3"/>
            </w:r>
            <w:r w:rsidRPr="00827A15">
              <w:rPr>
                <w:rFonts w:ascii="Calibri" w:hAnsi="Calibri" w:cs="Calibri"/>
                <w:sz w:val="24"/>
                <w:szCs w:val="24"/>
                <w:lang w:val="en-US"/>
              </w:rPr>
              <w:t xml:space="preserve"> 1.17</w:t>
            </w:r>
          </w:p>
        </w:tc>
        <w:tc>
          <w:tcPr>
            <w:tcW w:w="3898" w:type="dxa"/>
            <w:tcBorders>
              <w:bottom w:val="nil"/>
              <w:right w:val="double" w:sz="12" w:space="0" w:color="auto"/>
            </w:tcBorders>
            <w:shd w:val="pct12" w:color="auto" w:fill="FFFFFF"/>
          </w:tcPr>
          <w:p w:rsidR="00FC0CB8" w:rsidRPr="00827A15" w:rsidRDefault="00FC0CB8" w:rsidP="000D0D27">
            <w:pPr>
              <w:jc w:val="center"/>
              <w:rPr>
                <w:rFonts w:ascii="Calibri" w:hAnsi="Calibri" w:cs="Calibri"/>
                <w:sz w:val="24"/>
                <w:szCs w:val="24"/>
                <w:lang w:val="en-US"/>
              </w:rPr>
            </w:pPr>
            <w:r>
              <w:rPr>
                <w:rFonts w:ascii="Calibri" w:hAnsi="Calibri" w:cs="Calibri"/>
                <w:sz w:val="24"/>
                <w:szCs w:val="24"/>
                <w:lang w:val="en-US"/>
              </w:rPr>
              <w:t>5.0 mg/kg/24 h</w:t>
            </w:r>
          </w:p>
        </w:tc>
      </w:tr>
      <w:tr w:rsidR="00FC0CB8" w:rsidRPr="00827A15" w:rsidTr="000D0D27">
        <w:trPr>
          <w:jc w:val="center"/>
        </w:trPr>
        <w:tc>
          <w:tcPr>
            <w:tcW w:w="3898" w:type="dxa"/>
            <w:tcBorders>
              <w:top w:val="nil"/>
              <w:left w:val="double" w:sz="12" w:space="0" w:color="auto"/>
              <w:bottom w:val="nil"/>
            </w:tcBorders>
            <w:shd w:val="pct12" w:color="auto" w:fill="FFFFFF"/>
          </w:tcPr>
          <w:p w:rsidR="00FC0CB8" w:rsidRPr="00827A15" w:rsidRDefault="00FC0CB8" w:rsidP="000D0D27">
            <w:pPr>
              <w:jc w:val="center"/>
              <w:rPr>
                <w:rFonts w:ascii="Calibri" w:hAnsi="Calibri" w:cs="Calibri"/>
                <w:sz w:val="24"/>
                <w:szCs w:val="24"/>
                <w:lang w:val="en-US"/>
              </w:rPr>
            </w:pPr>
            <w:r w:rsidRPr="00827A15">
              <w:rPr>
                <w:rFonts w:ascii="Calibri" w:hAnsi="Calibri" w:cs="Calibri"/>
                <w:sz w:val="24"/>
                <w:szCs w:val="24"/>
                <w:lang w:val="en-US"/>
              </w:rPr>
              <w:t>0.85 – 1.16</w:t>
            </w:r>
          </w:p>
        </w:tc>
        <w:tc>
          <w:tcPr>
            <w:tcW w:w="3898" w:type="dxa"/>
            <w:tcBorders>
              <w:top w:val="nil"/>
              <w:bottom w:val="nil"/>
              <w:right w:val="double" w:sz="12" w:space="0" w:color="auto"/>
            </w:tcBorders>
            <w:shd w:val="pct12" w:color="auto" w:fill="FFFFFF"/>
          </w:tcPr>
          <w:p w:rsidR="00FC0CB8" w:rsidRPr="00827A15" w:rsidRDefault="00FC0CB8" w:rsidP="000D0D27">
            <w:pPr>
              <w:jc w:val="center"/>
              <w:rPr>
                <w:rFonts w:ascii="Calibri" w:hAnsi="Calibri" w:cs="Calibri"/>
                <w:sz w:val="24"/>
                <w:szCs w:val="24"/>
                <w:lang w:val="en-US"/>
              </w:rPr>
            </w:pPr>
            <w:r>
              <w:rPr>
                <w:rFonts w:ascii="Calibri" w:hAnsi="Calibri" w:cs="Calibri"/>
                <w:sz w:val="24"/>
                <w:szCs w:val="24"/>
                <w:lang w:val="en-US"/>
              </w:rPr>
              <w:t>2.5 mg/kg/24 h</w:t>
            </w:r>
          </w:p>
        </w:tc>
      </w:tr>
      <w:tr w:rsidR="00FC0CB8" w:rsidRPr="00827A15" w:rsidTr="000D0D27">
        <w:trPr>
          <w:jc w:val="center"/>
        </w:trPr>
        <w:tc>
          <w:tcPr>
            <w:tcW w:w="3898" w:type="dxa"/>
            <w:tcBorders>
              <w:top w:val="nil"/>
              <w:left w:val="double" w:sz="12" w:space="0" w:color="auto"/>
              <w:bottom w:val="nil"/>
            </w:tcBorders>
            <w:shd w:val="pct12" w:color="auto" w:fill="FFFFFF"/>
          </w:tcPr>
          <w:p w:rsidR="00FC0CB8" w:rsidRPr="00827A15" w:rsidRDefault="00FC0CB8" w:rsidP="000D0D27">
            <w:pPr>
              <w:jc w:val="center"/>
              <w:rPr>
                <w:rFonts w:ascii="Calibri" w:hAnsi="Calibri" w:cs="Calibri"/>
                <w:sz w:val="24"/>
                <w:szCs w:val="24"/>
                <w:lang w:val="en-US"/>
              </w:rPr>
            </w:pPr>
            <w:r w:rsidRPr="00827A15">
              <w:rPr>
                <w:rFonts w:ascii="Calibri" w:hAnsi="Calibri" w:cs="Calibri"/>
                <w:sz w:val="24"/>
                <w:szCs w:val="24"/>
                <w:lang w:val="en-US"/>
              </w:rPr>
              <w:t>0.85 – 0.42</w:t>
            </w:r>
          </w:p>
        </w:tc>
        <w:tc>
          <w:tcPr>
            <w:tcW w:w="3898" w:type="dxa"/>
            <w:tcBorders>
              <w:top w:val="nil"/>
              <w:bottom w:val="nil"/>
              <w:right w:val="double" w:sz="12" w:space="0" w:color="auto"/>
            </w:tcBorders>
            <w:shd w:val="pct12" w:color="auto" w:fill="FFFFFF"/>
          </w:tcPr>
          <w:p w:rsidR="00FC0CB8" w:rsidRPr="00827A15" w:rsidRDefault="00FC0CB8" w:rsidP="000D0D27">
            <w:pPr>
              <w:jc w:val="center"/>
              <w:rPr>
                <w:rFonts w:ascii="Calibri" w:hAnsi="Calibri" w:cs="Calibri"/>
                <w:sz w:val="24"/>
                <w:szCs w:val="24"/>
                <w:lang w:val="en-US"/>
              </w:rPr>
            </w:pPr>
            <w:r>
              <w:rPr>
                <w:rFonts w:ascii="Calibri" w:hAnsi="Calibri" w:cs="Calibri"/>
                <w:sz w:val="24"/>
                <w:szCs w:val="24"/>
                <w:lang w:val="en-US"/>
              </w:rPr>
              <w:t>1.25 mg/kg/24 h</w:t>
            </w:r>
          </w:p>
        </w:tc>
      </w:tr>
      <w:tr w:rsidR="00FC0CB8" w:rsidRPr="00827A15" w:rsidTr="000D0D27">
        <w:trPr>
          <w:jc w:val="center"/>
        </w:trPr>
        <w:tc>
          <w:tcPr>
            <w:tcW w:w="3898" w:type="dxa"/>
            <w:tcBorders>
              <w:top w:val="nil"/>
              <w:left w:val="double" w:sz="12" w:space="0" w:color="auto"/>
              <w:bottom w:val="nil"/>
            </w:tcBorders>
            <w:shd w:val="pct12" w:color="auto" w:fill="FFFFFF"/>
          </w:tcPr>
          <w:p w:rsidR="00FC0CB8" w:rsidRPr="00827A15" w:rsidRDefault="00FC0CB8" w:rsidP="000D0D27">
            <w:pPr>
              <w:jc w:val="center"/>
              <w:rPr>
                <w:rFonts w:ascii="Calibri" w:hAnsi="Calibri" w:cs="Calibri"/>
                <w:sz w:val="24"/>
                <w:szCs w:val="24"/>
                <w:lang w:val="en-US"/>
              </w:rPr>
            </w:pPr>
            <w:r w:rsidRPr="00827A15">
              <w:rPr>
                <w:rFonts w:ascii="Calibri" w:hAnsi="Calibri" w:cs="Calibri"/>
                <w:sz w:val="24"/>
                <w:szCs w:val="24"/>
                <w:lang w:val="en-US"/>
              </w:rPr>
              <w:t>0.41 – 0.17</w:t>
            </w:r>
          </w:p>
        </w:tc>
        <w:tc>
          <w:tcPr>
            <w:tcW w:w="3898" w:type="dxa"/>
            <w:tcBorders>
              <w:top w:val="nil"/>
              <w:bottom w:val="nil"/>
              <w:right w:val="double" w:sz="12" w:space="0" w:color="auto"/>
            </w:tcBorders>
            <w:shd w:val="pct12" w:color="auto" w:fill="FFFFFF"/>
          </w:tcPr>
          <w:p w:rsidR="00FC0CB8" w:rsidRPr="00827A15" w:rsidRDefault="00FC0CB8" w:rsidP="00FF499C">
            <w:pPr>
              <w:jc w:val="center"/>
              <w:rPr>
                <w:rFonts w:ascii="Calibri" w:hAnsi="Calibri" w:cs="Calibri"/>
                <w:sz w:val="24"/>
                <w:szCs w:val="24"/>
                <w:lang w:val="en-US"/>
              </w:rPr>
            </w:pPr>
            <w:r>
              <w:rPr>
                <w:rFonts w:ascii="Calibri" w:hAnsi="Calibri" w:cs="Calibri"/>
                <w:sz w:val="24"/>
                <w:szCs w:val="24"/>
                <w:lang w:val="en-US"/>
              </w:rPr>
              <w:t>1.25 mg/kg three times per week</w:t>
            </w:r>
          </w:p>
        </w:tc>
      </w:tr>
      <w:tr w:rsidR="00FC0CB8" w:rsidRPr="00827A15" w:rsidTr="000D0D27">
        <w:trPr>
          <w:jc w:val="center"/>
        </w:trPr>
        <w:tc>
          <w:tcPr>
            <w:tcW w:w="3898" w:type="dxa"/>
            <w:tcBorders>
              <w:top w:val="nil"/>
              <w:left w:val="double" w:sz="12" w:space="0" w:color="auto"/>
              <w:bottom w:val="double" w:sz="12" w:space="0" w:color="auto"/>
            </w:tcBorders>
            <w:shd w:val="pct12" w:color="auto" w:fill="FFFFFF"/>
          </w:tcPr>
          <w:p w:rsidR="00FC0CB8" w:rsidRPr="00827A15" w:rsidRDefault="00FC0CB8" w:rsidP="000D0D27">
            <w:pPr>
              <w:jc w:val="center"/>
              <w:rPr>
                <w:rFonts w:ascii="Calibri" w:hAnsi="Calibri" w:cs="Calibri"/>
                <w:sz w:val="24"/>
                <w:szCs w:val="24"/>
                <w:lang w:val="en-US"/>
              </w:rPr>
            </w:pPr>
            <w:r>
              <w:rPr>
                <w:rFonts w:ascii="Calibri" w:hAnsi="Calibri" w:cs="Calibri"/>
                <w:sz w:val="24"/>
                <w:szCs w:val="24"/>
                <w:lang w:val="en-US"/>
              </w:rPr>
              <w:t>&lt; 0.17 or hemodialysis</w:t>
            </w:r>
          </w:p>
        </w:tc>
        <w:tc>
          <w:tcPr>
            <w:tcW w:w="3898" w:type="dxa"/>
            <w:tcBorders>
              <w:top w:val="nil"/>
              <w:bottom w:val="double" w:sz="12" w:space="0" w:color="auto"/>
              <w:right w:val="double" w:sz="12" w:space="0" w:color="auto"/>
            </w:tcBorders>
            <w:shd w:val="pct12" w:color="auto" w:fill="FFFFFF"/>
          </w:tcPr>
          <w:p w:rsidR="00FC0CB8" w:rsidRPr="00827A15" w:rsidRDefault="00FC0CB8" w:rsidP="00FF499C">
            <w:pPr>
              <w:jc w:val="center"/>
              <w:rPr>
                <w:rFonts w:ascii="Calibri" w:hAnsi="Calibri" w:cs="Calibri"/>
                <w:sz w:val="24"/>
                <w:szCs w:val="24"/>
                <w:lang w:val="en-US"/>
              </w:rPr>
            </w:pPr>
            <w:r>
              <w:rPr>
                <w:rFonts w:ascii="Calibri" w:hAnsi="Calibri" w:cs="Calibri"/>
                <w:sz w:val="24"/>
                <w:szCs w:val="24"/>
                <w:lang w:val="en-US"/>
              </w:rPr>
              <w:t>1.25 mg/kg after hemodialysis</w:t>
            </w:r>
          </w:p>
        </w:tc>
      </w:tr>
    </w:tbl>
    <w:p w:rsidR="00FC0CB8" w:rsidRPr="00827A15" w:rsidRDefault="00FC0CB8">
      <w:pPr>
        <w:spacing w:line="360" w:lineRule="auto"/>
        <w:rPr>
          <w:rFonts w:ascii="Calibri" w:hAnsi="Calibri" w:cs="Calibri"/>
          <w:b/>
          <w:sz w:val="24"/>
          <w:szCs w:val="24"/>
          <w:lang w:val="en-US"/>
        </w:rPr>
      </w:pPr>
    </w:p>
    <w:p w:rsidR="00FC0CB8" w:rsidRPr="00827A15" w:rsidRDefault="00FC0CB8">
      <w:pPr>
        <w:spacing w:line="360" w:lineRule="auto"/>
        <w:rPr>
          <w:rFonts w:ascii="Calibri" w:hAnsi="Calibri" w:cs="Calibri"/>
          <w:sz w:val="24"/>
          <w:szCs w:val="24"/>
          <w:lang w:val="en-US"/>
        </w:rPr>
      </w:pPr>
      <w:r>
        <w:rPr>
          <w:rFonts w:ascii="Calibri" w:hAnsi="Calibri" w:cs="Calibri"/>
          <w:sz w:val="24"/>
          <w:szCs w:val="24"/>
          <w:lang w:val="en-US"/>
        </w:rPr>
        <w:t>The value of creatinine clearance will be estimated by</w:t>
      </w:r>
      <w:r w:rsidRPr="00827A15">
        <w:rPr>
          <w:rFonts w:ascii="Calibri" w:hAnsi="Calibri" w:cs="Calibri"/>
          <w:sz w:val="24"/>
          <w:szCs w:val="24"/>
          <w:lang w:val="en-US"/>
        </w:rPr>
        <w:t xml:space="preserve"> Co</w:t>
      </w:r>
      <w:r>
        <w:rPr>
          <w:rFonts w:ascii="Calibri" w:hAnsi="Calibri" w:cs="Calibri"/>
          <w:sz w:val="24"/>
          <w:szCs w:val="24"/>
          <w:lang w:val="en-US"/>
        </w:rPr>
        <w:t>croft</w:t>
      </w:r>
      <w:r w:rsidRPr="00827A15">
        <w:rPr>
          <w:rFonts w:ascii="Calibri" w:hAnsi="Calibri" w:cs="Calibri"/>
          <w:sz w:val="24"/>
          <w:szCs w:val="24"/>
          <w:lang w:val="en-US"/>
        </w:rPr>
        <w:t xml:space="preserve"> a</w:t>
      </w:r>
      <w:r>
        <w:rPr>
          <w:rFonts w:ascii="Calibri" w:hAnsi="Calibri" w:cs="Calibri"/>
          <w:sz w:val="24"/>
          <w:szCs w:val="24"/>
          <w:lang w:val="en-US"/>
        </w:rPr>
        <w:t>nd</w:t>
      </w:r>
      <w:r w:rsidRPr="00827A15">
        <w:rPr>
          <w:rFonts w:ascii="Calibri" w:hAnsi="Calibri" w:cs="Calibri"/>
          <w:sz w:val="24"/>
          <w:szCs w:val="24"/>
          <w:lang w:val="en-US"/>
        </w:rPr>
        <w:t xml:space="preserve"> Gaulta</w:t>
      </w:r>
      <w:r>
        <w:rPr>
          <w:rFonts w:ascii="Calibri" w:hAnsi="Calibri" w:cs="Calibri"/>
          <w:sz w:val="24"/>
          <w:szCs w:val="24"/>
          <w:lang w:val="en-US"/>
        </w:rPr>
        <w:t xml:space="preserve"> equation</w:t>
      </w:r>
      <w:r w:rsidRPr="00827A15">
        <w:rPr>
          <w:rFonts w:ascii="Calibri" w:hAnsi="Calibri" w:cs="Calibri"/>
          <w:sz w:val="24"/>
          <w:szCs w:val="24"/>
          <w:lang w:val="en-US"/>
        </w:rPr>
        <w:t>:</w:t>
      </w:r>
    </w:p>
    <w:p w:rsidR="00FC0CB8" w:rsidRPr="00827A15" w:rsidRDefault="00FC0CB8">
      <w:pPr>
        <w:spacing w:line="360" w:lineRule="auto"/>
        <w:rPr>
          <w:rFonts w:ascii="Calibri" w:hAnsi="Calibri" w:cs="Calibri"/>
          <w:sz w:val="24"/>
          <w:szCs w:val="24"/>
          <w:lang w:val="en-US"/>
        </w:rPr>
      </w:pPr>
      <w:r>
        <w:rPr>
          <w:rFonts w:ascii="Calibri" w:hAnsi="Calibri" w:cs="Calibri"/>
          <w:sz w:val="24"/>
          <w:szCs w:val="24"/>
          <w:lang w:val="en-US"/>
        </w:rPr>
        <w:t>For male</w:t>
      </w:r>
      <w:r w:rsidRPr="00827A15">
        <w:rPr>
          <w:rFonts w:ascii="Calibri" w:hAnsi="Calibri" w:cs="Calibri"/>
          <w:sz w:val="24"/>
          <w:szCs w:val="24"/>
          <w:lang w:val="en-US"/>
        </w:rPr>
        <w:t xml:space="preserve"> </w:t>
      </w:r>
      <w:r w:rsidRPr="00827A15">
        <w:rPr>
          <w:rFonts w:ascii="Calibri" w:hAnsi="Calibri" w:cs="Calibri"/>
          <w:sz w:val="24"/>
          <w:szCs w:val="24"/>
          <w:lang w:val="en-US"/>
        </w:rPr>
        <w:tab/>
        <w:t>CL</w:t>
      </w:r>
      <w:r w:rsidRPr="00827A15">
        <w:rPr>
          <w:rFonts w:ascii="Calibri" w:hAnsi="Calibri" w:cs="Calibri"/>
          <w:sz w:val="24"/>
          <w:szCs w:val="24"/>
          <w:vertAlign w:val="subscript"/>
          <w:lang w:val="en-US"/>
        </w:rPr>
        <w:t>Cr</w:t>
      </w:r>
      <w:r>
        <w:rPr>
          <w:rFonts w:ascii="Calibri" w:hAnsi="Calibri" w:cs="Calibri"/>
          <w:sz w:val="24"/>
          <w:szCs w:val="24"/>
          <w:lang w:val="en-US"/>
        </w:rPr>
        <w:t xml:space="preserve"> = (140 - age) x body weight</w:t>
      </w:r>
      <w:r w:rsidRPr="00827A15">
        <w:rPr>
          <w:rFonts w:ascii="Calibri" w:hAnsi="Calibri" w:cs="Calibri"/>
          <w:sz w:val="24"/>
          <w:szCs w:val="24"/>
          <w:lang w:val="en-US"/>
        </w:rPr>
        <w:t xml:space="preserve"> / (49 x s-Cr)</w:t>
      </w:r>
    </w:p>
    <w:p w:rsidR="00FC0CB8" w:rsidRPr="00827A15" w:rsidRDefault="00FC0CB8">
      <w:pPr>
        <w:spacing w:line="360" w:lineRule="auto"/>
        <w:rPr>
          <w:rFonts w:ascii="Calibri" w:hAnsi="Calibri" w:cs="Calibri"/>
          <w:sz w:val="24"/>
          <w:szCs w:val="24"/>
          <w:lang w:val="en-US"/>
        </w:rPr>
      </w:pPr>
      <w:r>
        <w:rPr>
          <w:rFonts w:ascii="Calibri" w:hAnsi="Calibri" w:cs="Calibri"/>
          <w:sz w:val="24"/>
          <w:szCs w:val="24"/>
          <w:lang w:val="en-US"/>
        </w:rPr>
        <w:t>For female</w:t>
      </w:r>
      <w:r w:rsidRPr="00827A15">
        <w:rPr>
          <w:rFonts w:ascii="Calibri" w:hAnsi="Calibri" w:cs="Calibri"/>
          <w:sz w:val="24"/>
          <w:szCs w:val="24"/>
          <w:lang w:val="en-US"/>
        </w:rPr>
        <w:tab/>
        <w:t>CL</w:t>
      </w:r>
      <w:r w:rsidRPr="00827A15">
        <w:rPr>
          <w:rFonts w:ascii="Calibri" w:hAnsi="Calibri" w:cs="Calibri"/>
          <w:sz w:val="24"/>
          <w:szCs w:val="24"/>
          <w:vertAlign w:val="subscript"/>
          <w:lang w:val="en-US"/>
        </w:rPr>
        <w:t>Cr</w:t>
      </w:r>
      <w:r w:rsidRPr="00827A15">
        <w:rPr>
          <w:rFonts w:ascii="Calibri" w:hAnsi="Calibri" w:cs="Calibri"/>
          <w:sz w:val="24"/>
          <w:szCs w:val="24"/>
          <w:lang w:val="en-US"/>
        </w:rPr>
        <w:t xml:space="preserve"> = 0</w:t>
      </w:r>
      <w:proofErr w:type="gramStart"/>
      <w:r w:rsidRPr="00827A15">
        <w:rPr>
          <w:rFonts w:ascii="Calibri" w:hAnsi="Calibri" w:cs="Calibri"/>
          <w:sz w:val="24"/>
          <w:szCs w:val="24"/>
          <w:lang w:val="en-US"/>
        </w:rPr>
        <w:t>,85</w:t>
      </w:r>
      <w:proofErr w:type="gramEnd"/>
      <w:r w:rsidRPr="00827A15">
        <w:rPr>
          <w:rFonts w:ascii="Calibri" w:hAnsi="Calibri" w:cs="Calibri"/>
          <w:sz w:val="24"/>
          <w:szCs w:val="24"/>
          <w:lang w:val="en-US"/>
        </w:rPr>
        <w:t xml:space="preserve"> x (140</w:t>
      </w:r>
      <w:r>
        <w:rPr>
          <w:rFonts w:ascii="Calibri" w:hAnsi="Calibri" w:cs="Calibri"/>
          <w:sz w:val="24"/>
          <w:szCs w:val="24"/>
          <w:lang w:val="en-US"/>
        </w:rPr>
        <w:t xml:space="preserve"> </w:t>
      </w:r>
      <w:r w:rsidRPr="00827A15">
        <w:rPr>
          <w:rFonts w:ascii="Calibri" w:hAnsi="Calibri" w:cs="Calibri"/>
          <w:sz w:val="24"/>
          <w:szCs w:val="24"/>
          <w:lang w:val="en-US"/>
        </w:rPr>
        <w:t>-</w:t>
      </w:r>
      <w:r>
        <w:rPr>
          <w:rFonts w:ascii="Calibri" w:hAnsi="Calibri" w:cs="Calibri"/>
          <w:sz w:val="24"/>
          <w:szCs w:val="24"/>
          <w:lang w:val="en-US"/>
        </w:rPr>
        <w:t xml:space="preserve"> age</w:t>
      </w:r>
      <w:r w:rsidRPr="00827A15">
        <w:rPr>
          <w:rFonts w:ascii="Calibri" w:hAnsi="Calibri" w:cs="Calibri"/>
          <w:sz w:val="24"/>
          <w:szCs w:val="24"/>
          <w:lang w:val="en-US"/>
        </w:rPr>
        <w:t xml:space="preserve">) x </w:t>
      </w:r>
      <w:r>
        <w:rPr>
          <w:rFonts w:ascii="Calibri" w:hAnsi="Calibri" w:cs="Calibri"/>
          <w:sz w:val="24"/>
          <w:szCs w:val="24"/>
          <w:lang w:val="en-US"/>
        </w:rPr>
        <w:t>body weight</w:t>
      </w:r>
      <w:r w:rsidRPr="00827A15">
        <w:rPr>
          <w:rFonts w:ascii="Calibri" w:hAnsi="Calibri" w:cs="Calibri"/>
          <w:sz w:val="24"/>
          <w:szCs w:val="24"/>
          <w:lang w:val="en-US"/>
        </w:rPr>
        <w:t xml:space="preserve"> / (49 x s-Cr)</w:t>
      </w:r>
    </w:p>
    <w:p w:rsidR="00FC0CB8" w:rsidRPr="00827A15" w:rsidRDefault="00FC0CB8">
      <w:pPr>
        <w:spacing w:line="360" w:lineRule="auto"/>
        <w:rPr>
          <w:rFonts w:ascii="Calibri" w:hAnsi="Calibri" w:cs="Calibri"/>
          <w:sz w:val="24"/>
          <w:szCs w:val="24"/>
          <w:lang w:val="en-US"/>
        </w:rPr>
      </w:pPr>
      <w:r w:rsidRPr="00827A15">
        <w:rPr>
          <w:rFonts w:ascii="Calibri" w:hAnsi="Calibri" w:cs="Calibri"/>
          <w:sz w:val="24"/>
          <w:szCs w:val="24"/>
          <w:lang w:val="en-US"/>
        </w:rPr>
        <w:t>CL</w:t>
      </w:r>
      <w:r w:rsidRPr="00827A15">
        <w:rPr>
          <w:rFonts w:ascii="Calibri" w:hAnsi="Calibri" w:cs="Calibri"/>
          <w:sz w:val="24"/>
          <w:szCs w:val="24"/>
          <w:vertAlign w:val="subscript"/>
          <w:lang w:val="en-US"/>
        </w:rPr>
        <w:t>Cr</w:t>
      </w:r>
      <w:r w:rsidRPr="00827A15">
        <w:rPr>
          <w:rFonts w:ascii="Calibri" w:hAnsi="Calibri" w:cs="Calibri"/>
          <w:sz w:val="24"/>
          <w:szCs w:val="24"/>
          <w:lang w:val="en-US"/>
        </w:rPr>
        <w:t xml:space="preserve"> </w:t>
      </w:r>
      <w:r w:rsidRPr="00827A15">
        <w:rPr>
          <w:rFonts w:ascii="Calibri" w:hAnsi="Calibri" w:cs="Calibri"/>
          <w:sz w:val="24"/>
          <w:szCs w:val="24"/>
          <w:lang w:val="en-US"/>
        </w:rPr>
        <w:tab/>
      </w:r>
      <w:r w:rsidRPr="00827A15">
        <w:rPr>
          <w:rFonts w:ascii="Calibri" w:hAnsi="Calibri" w:cs="Calibri"/>
          <w:sz w:val="24"/>
          <w:szCs w:val="24"/>
          <w:lang w:val="en-US"/>
        </w:rPr>
        <w:tab/>
        <w:t xml:space="preserve">- </w:t>
      </w:r>
      <w:r>
        <w:rPr>
          <w:rFonts w:ascii="Calibri" w:hAnsi="Calibri" w:cs="Calibri"/>
          <w:sz w:val="24"/>
          <w:szCs w:val="24"/>
          <w:lang w:val="en-US"/>
        </w:rPr>
        <w:t>creatinine clearance in</w:t>
      </w:r>
      <w:r w:rsidRPr="00827A15">
        <w:rPr>
          <w:rFonts w:ascii="Calibri" w:hAnsi="Calibri" w:cs="Calibri"/>
          <w:sz w:val="24"/>
          <w:szCs w:val="24"/>
          <w:lang w:val="en-US"/>
        </w:rPr>
        <w:t xml:space="preserve"> mL/s</w:t>
      </w:r>
    </w:p>
    <w:p w:rsidR="00FC0CB8" w:rsidRPr="00827A15" w:rsidRDefault="00FC0CB8">
      <w:pPr>
        <w:spacing w:line="360" w:lineRule="auto"/>
        <w:rPr>
          <w:rFonts w:ascii="Calibri" w:hAnsi="Calibri" w:cs="Calibri"/>
          <w:sz w:val="24"/>
          <w:szCs w:val="24"/>
          <w:lang w:val="en-US"/>
        </w:rPr>
      </w:pPr>
      <w:proofErr w:type="gramStart"/>
      <w:r>
        <w:rPr>
          <w:rFonts w:ascii="Calibri" w:hAnsi="Calibri" w:cs="Calibri"/>
          <w:sz w:val="24"/>
          <w:szCs w:val="24"/>
          <w:lang w:val="en-US"/>
        </w:rPr>
        <w:t>s-Cr</w:t>
      </w:r>
      <w:proofErr w:type="gramEnd"/>
      <w:r>
        <w:rPr>
          <w:rFonts w:ascii="Calibri" w:hAnsi="Calibri" w:cs="Calibri"/>
          <w:sz w:val="24"/>
          <w:szCs w:val="24"/>
          <w:lang w:val="en-US"/>
        </w:rPr>
        <w:tab/>
      </w:r>
      <w:r>
        <w:rPr>
          <w:rFonts w:ascii="Calibri" w:hAnsi="Calibri" w:cs="Calibri"/>
          <w:sz w:val="24"/>
          <w:szCs w:val="24"/>
          <w:lang w:val="en-US"/>
        </w:rPr>
        <w:tab/>
        <w:t>- serum c</w:t>
      </w:r>
      <w:r w:rsidRPr="00827A15">
        <w:rPr>
          <w:rFonts w:ascii="Calibri" w:hAnsi="Calibri" w:cs="Calibri"/>
          <w:sz w:val="24"/>
          <w:szCs w:val="24"/>
          <w:lang w:val="en-US"/>
        </w:rPr>
        <w:t>reatinin</w:t>
      </w:r>
      <w:r>
        <w:rPr>
          <w:rFonts w:ascii="Calibri" w:hAnsi="Calibri" w:cs="Calibri"/>
          <w:sz w:val="24"/>
          <w:szCs w:val="24"/>
          <w:lang w:val="en-US"/>
        </w:rPr>
        <w:t>e in</w:t>
      </w:r>
      <w:r w:rsidRPr="00827A15">
        <w:rPr>
          <w:rFonts w:ascii="Calibri" w:hAnsi="Calibri" w:cs="Calibri"/>
          <w:sz w:val="24"/>
          <w:szCs w:val="24"/>
          <w:lang w:val="en-US"/>
        </w:rPr>
        <w:t xml:space="preserve"> µmol/L</w:t>
      </w:r>
    </w:p>
    <w:p w:rsidR="00FC0CB8" w:rsidRPr="00827A15" w:rsidRDefault="00FC0CB8">
      <w:pPr>
        <w:spacing w:line="360" w:lineRule="auto"/>
        <w:rPr>
          <w:rFonts w:ascii="Calibri" w:hAnsi="Calibri" w:cs="Calibri"/>
          <w:sz w:val="24"/>
          <w:szCs w:val="24"/>
          <w:lang w:val="en-US"/>
        </w:rPr>
      </w:pPr>
      <w:proofErr w:type="gramStart"/>
      <w:r>
        <w:rPr>
          <w:rFonts w:ascii="Calibri" w:hAnsi="Calibri" w:cs="Calibri"/>
          <w:sz w:val="24"/>
          <w:szCs w:val="24"/>
          <w:lang w:val="en-US"/>
        </w:rPr>
        <w:t>age</w:t>
      </w:r>
      <w:proofErr w:type="gramEnd"/>
      <w:r>
        <w:rPr>
          <w:rFonts w:ascii="Calibri" w:hAnsi="Calibri" w:cs="Calibri"/>
          <w:sz w:val="24"/>
          <w:szCs w:val="24"/>
          <w:lang w:val="en-US"/>
        </w:rPr>
        <w:t xml:space="preserve"> is expressed in years</w:t>
      </w:r>
    </w:p>
    <w:p w:rsidR="00FC0CB8" w:rsidRPr="00827A15" w:rsidRDefault="00FC0CB8">
      <w:pPr>
        <w:spacing w:line="360" w:lineRule="auto"/>
        <w:rPr>
          <w:rFonts w:ascii="Calibri" w:hAnsi="Calibri" w:cs="Calibri"/>
          <w:sz w:val="24"/>
          <w:szCs w:val="24"/>
          <w:lang w:val="en-US"/>
        </w:rPr>
      </w:pPr>
      <w:proofErr w:type="gramStart"/>
      <w:r>
        <w:rPr>
          <w:rFonts w:ascii="Calibri" w:hAnsi="Calibri" w:cs="Calibri"/>
          <w:sz w:val="24"/>
          <w:szCs w:val="24"/>
          <w:lang w:val="en-US"/>
        </w:rPr>
        <w:t>body</w:t>
      </w:r>
      <w:proofErr w:type="gramEnd"/>
      <w:r>
        <w:rPr>
          <w:rFonts w:ascii="Calibri" w:hAnsi="Calibri" w:cs="Calibri"/>
          <w:sz w:val="24"/>
          <w:szCs w:val="24"/>
          <w:lang w:val="en-US"/>
        </w:rPr>
        <w:t xml:space="preserve"> weight</w:t>
      </w:r>
      <w:r w:rsidRPr="00827A15">
        <w:rPr>
          <w:rFonts w:ascii="Calibri" w:hAnsi="Calibri" w:cs="Calibri"/>
          <w:sz w:val="24"/>
          <w:szCs w:val="24"/>
          <w:lang w:val="en-US"/>
        </w:rPr>
        <w:t xml:space="preserve"> </w:t>
      </w:r>
      <w:r>
        <w:rPr>
          <w:rFonts w:ascii="Calibri" w:hAnsi="Calibri" w:cs="Calibri"/>
          <w:sz w:val="24"/>
          <w:szCs w:val="24"/>
          <w:lang w:val="en-US"/>
        </w:rPr>
        <w:t>is expressed in kilograms</w:t>
      </w:r>
    </w:p>
    <w:p w:rsidR="00FC0CB8" w:rsidRPr="00F3237B" w:rsidRDefault="00FC0CB8" w:rsidP="00F3237B">
      <w:pPr>
        <w:spacing w:line="360" w:lineRule="auto"/>
        <w:ind w:left="567"/>
        <w:rPr>
          <w:rFonts w:ascii="Calibri" w:hAnsi="Calibri" w:cs="Calibri"/>
          <w:lang w:val="en-US"/>
        </w:rPr>
      </w:pPr>
      <w:r w:rsidRPr="00F3237B">
        <w:rPr>
          <w:rFonts w:ascii="Calibri" w:hAnsi="Calibri" w:cs="Calibri"/>
          <w:b/>
          <w:lang w:val="en-US"/>
        </w:rPr>
        <w:t>Cocroft D., Gault M.</w:t>
      </w:r>
      <w:r w:rsidRPr="00F3237B">
        <w:rPr>
          <w:rFonts w:ascii="Calibri" w:hAnsi="Calibri" w:cs="Calibri"/>
          <w:lang w:val="en-US"/>
        </w:rPr>
        <w:t xml:space="preserve">: Prediction of creatinine clearance from serum creatinine. </w:t>
      </w:r>
      <w:proofErr w:type="gramStart"/>
      <w:r w:rsidRPr="00F3237B">
        <w:rPr>
          <w:rFonts w:ascii="Calibri" w:hAnsi="Calibri" w:cs="Calibri"/>
          <w:lang w:val="en-US"/>
        </w:rPr>
        <w:t>Nephron 1976, 16:31.</w:t>
      </w:r>
      <w:proofErr w:type="gramEnd"/>
    </w:p>
    <w:p w:rsidR="00FC0CB8" w:rsidRPr="00827A15" w:rsidRDefault="00FC0CB8">
      <w:pPr>
        <w:spacing w:line="360" w:lineRule="auto"/>
        <w:rPr>
          <w:rFonts w:ascii="Calibri" w:hAnsi="Calibri" w:cs="Calibri"/>
          <w:b/>
          <w:sz w:val="24"/>
          <w:szCs w:val="24"/>
          <w:lang w:val="en-US"/>
        </w:rPr>
      </w:pPr>
    </w:p>
    <w:p w:rsidR="00FC0CB8" w:rsidRPr="00827A15" w:rsidRDefault="00FC0CB8">
      <w:pPr>
        <w:spacing w:line="360" w:lineRule="auto"/>
        <w:rPr>
          <w:rFonts w:ascii="Calibri" w:hAnsi="Calibri" w:cs="Calibri"/>
          <w:b/>
          <w:sz w:val="24"/>
          <w:szCs w:val="24"/>
          <w:lang w:val="en-US"/>
        </w:rPr>
      </w:pPr>
      <w:r>
        <w:rPr>
          <w:rFonts w:ascii="Calibri" w:hAnsi="Calibri" w:cs="Calibri"/>
          <w:b/>
          <w:sz w:val="24"/>
          <w:szCs w:val="24"/>
          <w:lang w:val="en-US"/>
        </w:rPr>
        <w:br w:type="page"/>
      </w:r>
      <w:r>
        <w:rPr>
          <w:rFonts w:ascii="Calibri" w:hAnsi="Calibri" w:cs="Calibri"/>
          <w:b/>
          <w:sz w:val="24"/>
          <w:szCs w:val="24"/>
          <w:lang w:val="en-US"/>
        </w:rPr>
        <w:lastRenderedPageBreak/>
        <w:t>Appendix</w:t>
      </w:r>
      <w:r w:rsidRPr="00827A15">
        <w:rPr>
          <w:rFonts w:ascii="Calibri" w:hAnsi="Calibri" w:cs="Calibri"/>
          <w:b/>
          <w:sz w:val="24"/>
          <w:szCs w:val="24"/>
          <w:lang w:val="en-US"/>
        </w:rPr>
        <w:t xml:space="preserve"> IV</w:t>
      </w:r>
    </w:p>
    <w:p w:rsidR="00FC0CB8" w:rsidRPr="00827A15" w:rsidRDefault="00FC0CB8" w:rsidP="00CC3066">
      <w:pPr>
        <w:spacing w:line="360" w:lineRule="auto"/>
        <w:rPr>
          <w:rFonts w:ascii="Calibri" w:hAnsi="Calibri" w:cs="Calibri"/>
          <w:sz w:val="24"/>
          <w:szCs w:val="24"/>
          <w:lang w:val="en-US"/>
        </w:rPr>
      </w:pPr>
      <w:r>
        <w:rPr>
          <w:rFonts w:ascii="Calibri" w:hAnsi="Calibri" w:cs="Calibri"/>
          <w:b/>
          <w:sz w:val="24"/>
          <w:szCs w:val="24"/>
          <w:lang w:val="en-US"/>
        </w:rPr>
        <w:t>Summary of major adverse events of valganciclovir</w:t>
      </w:r>
      <w:r w:rsidRPr="00827A15">
        <w:rPr>
          <w:rFonts w:ascii="Calibri" w:hAnsi="Calibri" w:cs="Calibri"/>
          <w:b/>
          <w:sz w:val="24"/>
          <w:szCs w:val="24"/>
          <w:lang w:val="en-US"/>
        </w:rPr>
        <w:t xml:space="preserve"> </w:t>
      </w:r>
    </w:p>
    <w:p w:rsidR="00FC0CB8" w:rsidRPr="00827A15" w:rsidRDefault="00FC0CB8" w:rsidP="00CC3066">
      <w:pPr>
        <w:spacing w:line="360" w:lineRule="auto"/>
        <w:ind w:firstLine="708"/>
        <w:rPr>
          <w:rFonts w:ascii="Calibri" w:hAnsi="Calibri" w:cs="Calibri"/>
          <w:sz w:val="24"/>
          <w:szCs w:val="24"/>
          <w:lang w:val="en-US"/>
        </w:rPr>
      </w:pPr>
      <w:proofErr w:type="gramStart"/>
      <w:r>
        <w:rPr>
          <w:rFonts w:ascii="Calibri" w:hAnsi="Calibri" w:cs="Calibri"/>
          <w:sz w:val="24"/>
          <w:szCs w:val="24"/>
          <w:lang w:val="en-US"/>
        </w:rPr>
        <w:t>Nephrologic (renal insuficiency</w:t>
      </w:r>
      <w:r w:rsidRPr="00827A15">
        <w:rPr>
          <w:rFonts w:ascii="Calibri" w:hAnsi="Calibri" w:cs="Calibri"/>
          <w:sz w:val="24"/>
          <w:szCs w:val="24"/>
          <w:lang w:val="en-US"/>
        </w:rPr>
        <w:t>).</w:t>
      </w:r>
      <w:proofErr w:type="gramEnd"/>
    </w:p>
    <w:p w:rsidR="00FC0CB8" w:rsidRPr="00827A15" w:rsidRDefault="00FC0CB8" w:rsidP="00CC3066">
      <w:pPr>
        <w:spacing w:line="360" w:lineRule="auto"/>
        <w:ind w:firstLine="708"/>
        <w:rPr>
          <w:rFonts w:ascii="Calibri" w:hAnsi="Calibri" w:cs="Calibri"/>
          <w:sz w:val="24"/>
          <w:szCs w:val="24"/>
          <w:lang w:val="en-US"/>
        </w:rPr>
      </w:pPr>
      <w:proofErr w:type="gramStart"/>
      <w:r>
        <w:rPr>
          <w:rFonts w:ascii="Calibri" w:hAnsi="Calibri" w:cs="Calibri"/>
          <w:sz w:val="24"/>
          <w:szCs w:val="24"/>
          <w:lang w:val="en-US"/>
        </w:rPr>
        <w:t>Hematologic (anemia, leucopenia</w:t>
      </w:r>
      <w:r w:rsidRPr="00827A15">
        <w:rPr>
          <w:rFonts w:ascii="Calibri" w:hAnsi="Calibri" w:cs="Calibri"/>
          <w:sz w:val="24"/>
          <w:szCs w:val="24"/>
          <w:lang w:val="en-US"/>
        </w:rPr>
        <w:t>, t</w:t>
      </w:r>
      <w:r>
        <w:rPr>
          <w:rFonts w:ascii="Calibri" w:hAnsi="Calibri" w:cs="Calibri"/>
          <w:sz w:val="24"/>
          <w:szCs w:val="24"/>
          <w:lang w:val="en-US"/>
        </w:rPr>
        <w:t>hrombocytopenia</w:t>
      </w:r>
      <w:r w:rsidRPr="00827A15">
        <w:rPr>
          <w:rFonts w:ascii="Calibri" w:hAnsi="Calibri" w:cs="Calibri"/>
          <w:sz w:val="24"/>
          <w:szCs w:val="24"/>
          <w:lang w:val="en-US"/>
        </w:rPr>
        <w:t>).</w:t>
      </w:r>
      <w:proofErr w:type="gramEnd"/>
    </w:p>
    <w:p w:rsidR="00FC0CB8" w:rsidRPr="00827A15" w:rsidRDefault="00FC0CB8" w:rsidP="00CC3066">
      <w:pPr>
        <w:spacing w:line="360" w:lineRule="auto"/>
        <w:ind w:left="708"/>
        <w:rPr>
          <w:rFonts w:ascii="Calibri" w:hAnsi="Calibri" w:cs="Calibri"/>
          <w:sz w:val="24"/>
          <w:szCs w:val="24"/>
          <w:lang w:val="en-US"/>
        </w:rPr>
      </w:pPr>
      <w:proofErr w:type="gramStart"/>
      <w:r>
        <w:rPr>
          <w:rFonts w:ascii="Calibri" w:hAnsi="Calibri" w:cs="Calibri"/>
          <w:sz w:val="24"/>
          <w:szCs w:val="24"/>
          <w:lang w:val="en-US"/>
        </w:rPr>
        <w:t>Gastroenterologic (diarrhea</w:t>
      </w:r>
      <w:r w:rsidRPr="00827A15">
        <w:rPr>
          <w:rFonts w:ascii="Calibri" w:hAnsi="Calibri" w:cs="Calibri"/>
          <w:sz w:val="24"/>
          <w:szCs w:val="24"/>
          <w:lang w:val="en-US"/>
        </w:rPr>
        <w:t xml:space="preserve">, </w:t>
      </w:r>
      <w:r>
        <w:rPr>
          <w:rFonts w:ascii="Calibri" w:hAnsi="Calibri" w:cs="Calibri"/>
          <w:sz w:val="24"/>
          <w:szCs w:val="24"/>
          <w:lang w:val="en-US"/>
        </w:rPr>
        <w:t>abdominal pain</w:t>
      </w:r>
      <w:r w:rsidRPr="00827A15">
        <w:rPr>
          <w:rFonts w:ascii="Calibri" w:hAnsi="Calibri" w:cs="Calibri"/>
          <w:sz w:val="24"/>
          <w:szCs w:val="24"/>
          <w:lang w:val="en-US"/>
        </w:rPr>
        <w:t>,</w:t>
      </w:r>
      <w:r>
        <w:rPr>
          <w:rFonts w:ascii="Calibri" w:hAnsi="Calibri" w:cs="Calibri"/>
          <w:sz w:val="24"/>
          <w:szCs w:val="24"/>
          <w:lang w:val="en-US"/>
        </w:rPr>
        <w:t xml:space="preserve"> dyspepsia, nausea, vomiting, anorexia</w:t>
      </w:r>
      <w:r w:rsidRPr="00827A15">
        <w:rPr>
          <w:rFonts w:ascii="Calibri" w:hAnsi="Calibri" w:cs="Calibri"/>
          <w:sz w:val="24"/>
          <w:szCs w:val="24"/>
          <w:lang w:val="en-US"/>
        </w:rPr>
        <w:t xml:space="preserve">, </w:t>
      </w:r>
      <w:r>
        <w:rPr>
          <w:rFonts w:ascii="Calibri" w:hAnsi="Calibri" w:cs="Calibri"/>
          <w:sz w:val="24"/>
          <w:szCs w:val="24"/>
          <w:lang w:val="en-US"/>
        </w:rPr>
        <w:t>liver enzymes abnormalities</w:t>
      </w:r>
      <w:r w:rsidRPr="00827A15">
        <w:rPr>
          <w:rFonts w:ascii="Calibri" w:hAnsi="Calibri" w:cs="Calibri"/>
          <w:sz w:val="24"/>
          <w:szCs w:val="24"/>
          <w:lang w:val="en-US"/>
        </w:rPr>
        <w:t>).</w:t>
      </w:r>
      <w:proofErr w:type="gramEnd"/>
    </w:p>
    <w:p w:rsidR="00FC0CB8" w:rsidRPr="008E3280" w:rsidRDefault="00FC0CB8" w:rsidP="00CC3066">
      <w:pPr>
        <w:spacing w:line="360" w:lineRule="auto"/>
        <w:ind w:left="708"/>
        <w:rPr>
          <w:rFonts w:ascii="Calibri" w:hAnsi="Calibri" w:cs="Calibri"/>
          <w:sz w:val="24"/>
          <w:szCs w:val="24"/>
          <w:lang w:val="en-US"/>
        </w:rPr>
      </w:pPr>
      <w:proofErr w:type="gramStart"/>
      <w:r w:rsidRPr="008E3280">
        <w:rPr>
          <w:rFonts w:ascii="Calibri" w:hAnsi="Calibri" w:cs="Calibri"/>
          <w:sz w:val="24"/>
          <w:szCs w:val="24"/>
          <w:lang w:val="en-US"/>
        </w:rPr>
        <w:t>Neurologic (somnolence, insomnia, hypestesia, psychiatric abnormalities, neuropathy).</w:t>
      </w:r>
      <w:proofErr w:type="gramEnd"/>
    </w:p>
    <w:p w:rsidR="00FC0CB8" w:rsidRPr="008E3280" w:rsidRDefault="00FC0CB8" w:rsidP="00CC3066">
      <w:pPr>
        <w:spacing w:line="360" w:lineRule="auto"/>
        <w:ind w:firstLine="708"/>
        <w:rPr>
          <w:rFonts w:ascii="Calibri" w:hAnsi="Calibri" w:cs="Calibri"/>
          <w:sz w:val="24"/>
          <w:szCs w:val="24"/>
          <w:lang w:val="en-US"/>
        </w:rPr>
      </w:pPr>
      <w:proofErr w:type="gramStart"/>
      <w:r w:rsidRPr="008E3280">
        <w:rPr>
          <w:rFonts w:ascii="Calibri" w:hAnsi="Calibri" w:cs="Calibri"/>
          <w:sz w:val="24"/>
          <w:szCs w:val="24"/>
          <w:lang w:val="en-US"/>
        </w:rPr>
        <w:t>Sensoric (macular edema, retinal detechment, vitreal abnormalities).</w:t>
      </w:r>
      <w:proofErr w:type="gramEnd"/>
    </w:p>
    <w:p w:rsidR="00FC0CB8" w:rsidRPr="008E3280" w:rsidRDefault="00FC0CB8" w:rsidP="00CC3066">
      <w:pPr>
        <w:spacing w:line="360" w:lineRule="auto"/>
        <w:ind w:firstLine="708"/>
        <w:rPr>
          <w:rFonts w:ascii="Calibri" w:hAnsi="Calibri" w:cs="Calibri"/>
          <w:sz w:val="24"/>
          <w:szCs w:val="24"/>
          <w:lang w:val="en-US"/>
        </w:rPr>
      </w:pPr>
      <w:proofErr w:type="gramStart"/>
      <w:r w:rsidRPr="008E3280">
        <w:rPr>
          <w:rFonts w:ascii="Calibri" w:hAnsi="Calibri" w:cs="Calibri"/>
          <w:sz w:val="24"/>
          <w:szCs w:val="24"/>
          <w:lang w:val="en-US"/>
        </w:rPr>
        <w:t>Dermatologic (dermatitis, night sweating, pruritus).</w:t>
      </w:r>
      <w:proofErr w:type="gramEnd"/>
    </w:p>
    <w:p w:rsidR="00FC0CB8" w:rsidRPr="008E3280" w:rsidRDefault="00FC0CB8" w:rsidP="00CC3066">
      <w:pPr>
        <w:spacing w:line="360" w:lineRule="auto"/>
        <w:ind w:firstLine="708"/>
        <w:rPr>
          <w:rFonts w:ascii="Calibri" w:hAnsi="Calibri" w:cs="Calibri"/>
          <w:sz w:val="24"/>
          <w:szCs w:val="24"/>
          <w:lang w:val="en-US"/>
        </w:rPr>
      </w:pPr>
      <w:proofErr w:type="gramStart"/>
      <w:r w:rsidRPr="008E3280">
        <w:rPr>
          <w:rFonts w:ascii="Calibri" w:hAnsi="Calibri" w:cs="Calibri"/>
          <w:sz w:val="24"/>
          <w:szCs w:val="24"/>
          <w:lang w:val="en-US"/>
        </w:rPr>
        <w:t>Musculosceletal (backpain).</w:t>
      </w:r>
      <w:proofErr w:type="gramEnd"/>
    </w:p>
    <w:p w:rsidR="00FC0CB8" w:rsidRPr="008E3280" w:rsidRDefault="00FC0CB8">
      <w:pPr>
        <w:spacing w:line="360" w:lineRule="auto"/>
        <w:rPr>
          <w:rFonts w:ascii="Calibri" w:hAnsi="Calibri" w:cs="Calibri"/>
          <w:sz w:val="24"/>
          <w:szCs w:val="24"/>
          <w:lang w:val="en-US"/>
        </w:rPr>
      </w:pPr>
    </w:p>
    <w:p w:rsidR="00FC0CB8" w:rsidRPr="008E3280" w:rsidRDefault="00FC0CB8" w:rsidP="001E391F">
      <w:pPr>
        <w:spacing w:line="360" w:lineRule="auto"/>
        <w:jc w:val="both"/>
        <w:rPr>
          <w:rFonts w:ascii="Calibri" w:hAnsi="Calibri" w:cs="Calibri"/>
          <w:b/>
          <w:sz w:val="24"/>
          <w:szCs w:val="24"/>
          <w:lang w:val="en-US"/>
        </w:rPr>
      </w:pPr>
      <w:r w:rsidRPr="008E3280">
        <w:rPr>
          <w:rFonts w:ascii="Calibri" w:hAnsi="Calibri" w:cs="Calibri"/>
          <w:b/>
          <w:sz w:val="24"/>
          <w:szCs w:val="24"/>
          <w:lang w:val="en-US"/>
        </w:rPr>
        <w:t>Prophylaxis or pre</w:t>
      </w:r>
      <w:r>
        <w:rPr>
          <w:rFonts w:ascii="Calibri" w:hAnsi="Calibri" w:cs="Calibri"/>
          <w:b/>
          <w:sz w:val="24"/>
          <w:szCs w:val="24"/>
          <w:lang w:val="en-US"/>
        </w:rPr>
        <w:t>-</w:t>
      </w:r>
      <w:r w:rsidRPr="008E3280">
        <w:rPr>
          <w:rFonts w:ascii="Calibri" w:hAnsi="Calibri" w:cs="Calibri"/>
          <w:b/>
          <w:sz w:val="24"/>
          <w:szCs w:val="24"/>
          <w:lang w:val="en-US"/>
        </w:rPr>
        <w:t>emptive therapy withdrawal due to adverse events:</w:t>
      </w:r>
    </w:p>
    <w:p w:rsidR="00FC0CB8" w:rsidRPr="008E3280" w:rsidRDefault="00FC0CB8" w:rsidP="001E391F">
      <w:pPr>
        <w:spacing w:line="360" w:lineRule="auto"/>
        <w:jc w:val="both"/>
        <w:rPr>
          <w:rFonts w:ascii="Calibri" w:hAnsi="Calibri" w:cs="Calibri"/>
          <w:sz w:val="24"/>
          <w:szCs w:val="24"/>
          <w:lang w:val="en-US"/>
        </w:rPr>
      </w:pPr>
      <w:r w:rsidRPr="008E3280">
        <w:rPr>
          <w:rFonts w:ascii="Calibri" w:hAnsi="Calibri" w:cs="Calibri"/>
          <w:sz w:val="24"/>
          <w:szCs w:val="24"/>
          <w:lang w:val="en-US"/>
        </w:rPr>
        <w:t xml:space="preserve">In the case of </w:t>
      </w:r>
      <w:r>
        <w:rPr>
          <w:rFonts w:ascii="Calibri" w:hAnsi="Calibri" w:cs="Calibri"/>
          <w:sz w:val="24"/>
          <w:szCs w:val="24"/>
          <w:lang w:val="en-US"/>
        </w:rPr>
        <w:t>serious adverse event</w:t>
      </w:r>
      <w:r w:rsidRPr="008E3280">
        <w:rPr>
          <w:rFonts w:ascii="Calibri" w:hAnsi="Calibri" w:cs="Calibri"/>
          <w:sz w:val="24"/>
          <w:szCs w:val="24"/>
          <w:lang w:val="en-US"/>
        </w:rPr>
        <w:t xml:space="preserve"> val</w:t>
      </w:r>
      <w:r>
        <w:rPr>
          <w:rFonts w:ascii="Calibri" w:hAnsi="Calibri" w:cs="Calibri"/>
          <w:sz w:val="24"/>
          <w:szCs w:val="24"/>
          <w:lang w:val="en-US"/>
        </w:rPr>
        <w:t xml:space="preserve">ganciclovir </w:t>
      </w:r>
      <w:r w:rsidRPr="008E3280">
        <w:rPr>
          <w:rFonts w:ascii="Calibri" w:hAnsi="Calibri" w:cs="Calibri"/>
          <w:sz w:val="24"/>
          <w:szCs w:val="24"/>
          <w:lang w:val="en-US"/>
        </w:rPr>
        <w:t>prophylaxis or valgnaciclovir pre</w:t>
      </w:r>
      <w:r>
        <w:rPr>
          <w:rFonts w:ascii="Calibri" w:hAnsi="Calibri" w:cs="Calibri"/>
          <w:sz w:val="24"/>
          <w:szCs w:val="24"/>
          <w:lang w:val="en-US"/>
        </w:rPr>
        <w:t>-</w:t>
      </w:r>
      <w:r w:rsidRPr="008E3280">
        <w:rPr>
          <w:rFonts w:ascii="Calibri" w:hAnsi="Calibri" w:cs="Calibri"/>
          <w:sz w:val="24"/>
          <w:szCs w:val="24"/>
          <w:lang w:val="en-US"/>
        </w:rPr>
        <w:t>emptive therapy may be withdraw if clinically indicated. However, other reasons of adverse events shoul</w:t>
      </w:r>
      <w:r>
        <w:rPr>
          <w:rFonts w:ascii="Calibri" w:hAnsi="Calibri" w:cs="Calibri"/>
          <w:sz w:val="24"/>
          <w:szCs w:val="24"/>
          <w:lang w:val="en-US"/>
        </w:rPr>
        <w:t>d</w:t>
      </w:r>
      <w:r w:rsidRPr="008E3280">
        <w:rPr>
          <w:rFonts w:ascii="Calibri" w:hAnsi="Calibri" w:cs="Calibri"/>
          <w:sz w:val="24"/>
          <w:szCs w:val="24"/>
          <w:lang w:val="en-US"/>
        </w:rPr>
        <w:t xml:space="preserve"> be taken into account. In particular, leucopenia or thrombycytopenia are side effec</w:t>
      </w:r>
      <w:r>
        <w:rPr>
          <w:rFonts w:ascii="Calibri" w:hAnsi="Calibri" w:cs="Calibri"/>
          <w:sz w:val="24"/>
          <w:szCs w:val="24"/>
          <w:lang w:val="en-US"/>
        </w:rPr>
        <w:t>ts of many other drug</w:t>
      </w:r>
      <w:r w:rsidRPr="008E3280">
        <w:rPr>
          <w:rFonts w:ascii="Calibri" w:hAnsi="Calibri" w:cs="Calibri"/>
          <w:sz w:val="24"/>
          <w:szCs w:val="24"/>
          <w:lang w:val="en-US"/>
        </w:rPr>
        <w:t xml:space="preserve">s such as mycophenolate mofetil, sirolimus, </w:t>
      </w:r>
      <w:proofErr w:type="gramStart"/>
      <w:r w:rsidRPr="008E3280">
        <w:rPr>
          <w:rFonts w:ascii="Calibri" w:hAnsi="Calibri" w:cs="Calibri"/>
          <w:sz w:val="24"/>
          <w:szCs w:val="24"/>
          <w:lang w:val="en-US"/>
        </w:rPr>
        <w:t>co</w:t>
      </w:r>
      <w:proofErr w:type="gramEnd"/>
      <w:r w:rsidRPr="008E3280">
        <w:rPr>
          <w:rFonts w:ascii="Calibri" w:hAnsi="Calibri" w:cs="Calibri"/>
          <w:sz w:val="24"/>
          <w:szCs w:val="24"/>
          <w:lang w:val="en-US"/>
        </w:rPr>
        <w:t>-trimoxazole. Also CMV disease has s</w:t>
      </w:r>
      <w:r>
        <w:rPr>
          <w:rFonts w:ascii="Calibri" w:hAnsi="Calibri" w:cs="Calibri"/>
          <w:sz w:val="24"/>
          <w:szCs w:val="24"/>
          <w:lang w:val="en-US"/>
        </w:rPr>
        <w:t xml:space="preserve">imilar laboratory abnormalities as </w:t>
      </w:r>
      <w:r w:rsidRPr="008E3280">
        <w:rPr>
          <w:rFonts w:ascii="Calibri" w:hAnsi="Calibri" w:cs="Calibri"/>
          <w:sz w:val="24"/>
          <w:szCs w:val="24"/>
          <w:lang w:val="en-US"/>
        </w:rPr>
        <w:t>valganciclovir side effects.</w:t>
      </w:r>
    </w:p>
    <w:p w:rsidR="00FC0CB8" w:rsidRPr="00827A15" w:rsidRDefault="00FC0CB8" w:rsidP="006C3AB4">
      <w:pPr>
        <w:jc w:val="both"/>
        <w:rPr>
          <w:rFonts w:ascii="Calibri" w:hAnsi="Calibri" w:cs="Calibri"/>
          <w:sz w:val="24"/>
          <w:szCs w:val="24"/>
          <w:lang w:val="en-US"/>
        </w:rPr>
      </w:pPr>
      <w:r w:rsidRPr="00E07780">
        <w:rPr>
          <w:rFonts w:ascii="Calibri" w:hAnsi="Calibri" w:cs="Calibri"/>
          <w:sz w:val="24"/>
          <w:szCs w:val="24"/>
          <w:lang w:val="en-US"/>
        </w:rPr>
        <w:br w:type="page"/>
      </w:r>
      <w:r>
        <w:rPr>
          <w:rFonts w:ascii="Calibri" w:hAnsi="Calibri" w:cs="Calibri"/>
          <w:sz w:val="24"/>
          <w:szCs w:val="24"/>
          <w:lang w:val="en-US"/>
        </w:rPr>
        <w:lastRenderedPageBreak/>
        <w:t>Informed</w:t>
      </w:r>
      <w:r w:rsidRPr="00827A15">
        <w:rPr>
          <w:rFonts w:ascii="Calibri" w:hAnsi="Calibri" w:cs="Calibri"/>
          <w:sz w:val="24"/>
          <w:szCs w:val="24"/>
          <w:lang w:val="en-US"/>
        </w:rPr>
        <w:t xml:space="preserve"> </w:t>
      </w:r>
      <w:r>
        <w:rPr>
          <w:rFonts w:ascii="Calibri" w:hAnsi="Calibri" w:cs="Calibri"/>
          <w:sz w:val="24"/>
          <w:szCs w:val="24"/>
          <w:lang w:val="en-US"/>
        </w:rPr>
        <w:t>consent</w:t>
      </w:r>
    </w:p>
    <w:p w:rsidR="00FC0CB8" w:rsidRPr="00827A15" w:rsidRDefault="00FC0CB8" w:rsidP="006C3AB4">
      <w:pPr>
        <w:jc w:val="both"/>
        <w:rPr>
          <w:rFonts w:ascii="Calibri" w:hAnsi="Calibri" w:cs="Calibri"/>
          <w:sz w:val="24"/>
          <w:szCs w:val="24"/>
          <w:lang w:val="en-US"/>
        </w:rPr>
      </w:pPr>
      <w:r w:rsidRPr="00827A15">
        <w:rPr>
          <w:rFonts w:ascii="Calibri" w:hAnsi="Calibri" w:cs="Calibri"/>
          <w:sz w:val="24"/>
          <w:szCs w:val="24"/>
          <w:lang w:val="en-US"/>
        </w:rPr>
        <w:t xml:space="preserve"> </w:t>
      </w:r>
    </w:p>
    <w:p w:rsidR="00FC0CB8" w:rsidRPr="00827A15" w:rsidRDefault="00FC0CB8" w:rsidP="006C3AB4">
      <w:pPr>
        <w:jc w:val="both"/>
        <w:rPr>
          <w:rFonts w:ascii="Calibri" w:hAnsi="Calibri" w:cs="Calibri"/>
          <w:sz w:val="24"/>
          <w:szCs w:val="24"/>
          <w:lang w:val="en-US"/>
        </w:rPr>
      </w:pPr>
      <w:r>
        <w:rPr>
          <w:rFonts w:ascii="Calibri" w:hAnsi="Calibri" w:cs="Calibri"/>
          <w:sz w:val="24"/>
          <w:szCs w:val="24"/>
          <w:lang w:val="en-US"/>
        </w:rPr>
        <w:t>Patients with transplanted kidney have to use various drugs which avoid rejection of transplanted kidney and maintain its long-term function. Unfortunately, all of these grugs have adverse events which include weakening immunity of the body against infections. Viral infection caused by cytomegalovirus belongs among the most common and most serious ones. Therefore we aim to prevent this infection, diagnose and treat it in time</w:t>
      </w:r>
      <w:r w:rsidRPr="00827A15">
        <w:rPr>
          <w:rFonts w:ascii="Calibri" w:hAnsi="Calibri" w:cs="Calibri"/>
          <w:sz w:val="24"/>
          <w:szCs w:val="24"/>
          <w:lang w:val="en-US"/>
        </w:rPr>
        <w:t>.</w:t>
      </w:r>
    </w:p>
    <w:p w:rsidR="00FC0CB8" w:rsidRPr="00827A15" w:rsidRDefault="00FC0CB8" w:rsidP="006C3AB4">
      <w:pPr>
        <w:jc w:val="both"/>
        <w:rPr>
          <w:rFonts w:ascii="Calibri" w:hAnsi="Calibri" w:cs="Calibri"/>
          <w:sz w:val="24"/>
          <w:szCs w:val="24"/>
          <w:lang w:val="en-US"/>
        </w:rPr>
      </w:pPr>
    </w:p>
    <w:p w:rsidR="00FC0CB8" w:rsidRPr="00827A15" w:rsidRDefault="00FC0CB8" w:rsidP="006C3AB4">
      <w:pPr>
        <w:jc w:val="both"/>
        <w:rPr>
          <w:rFonts w:ascii="Calibri" w:hAnsi="Calibri" w:cs="Calibri"/>
          <w:sz w:val="24"/>
          <w:szCs w:val="24"/>
          <w:lang w:val="en-US"/>
        </w:rPr>
      </w:pPr>
      <w:r>
        <w:rPr>
          <w:rFonts w:ascii="Calibri" w:hAnsi="Calibri" w:cs="Calibri"/>
          <w:sz w:val="24"/>
          <w:szCs w:val="24"/>
          <w:lang w:val="en-US"/>
        </w:rPr>
        <w:t>In pursuance of efforts to avoid such an infection in our patients, we will check the patients more frequently (by clinical evaluation and by laboratory) in the first year after transplantation.</w:t>
      </w:r>
      <w:r w:rsidRPr="00827A15">
        <w:rPr>
          <w:rFonts w:ascii="Calibri" w:hAnsi="Calibri" w:cs="Calibri"/>
          <w:sz w:val="24"/>
          <w:szCs w:val="24"/>
          <w:lang w:val="en-US"/>
        </w:rPr>
        <w:t xml:space="preserve"> </w:t>
      </w:r>
      <w:r>
        <w:rPr>
          <w:rFonts w:ascii="Calibri" w:hAnsi="Calibri" w:cs="Calibri"/>
          <w:sz w:val="24"/>
          <w:szCs w:val="24"/>
          <w:lang w:val="en-US"/>
        </w:rPr>
        <w:t>One group of patients will be preventively treated by a drug (VALCYTE TBL) for three months, in high-risk patients for six months. This drug decreases probability of development of cytomegalovirus infection. Second group will be checked by very sensitive method to detect the virus within blood in a one a week basis. If the virus activity is detected patients will be treated with a drug (VALCYTE TBL) for a minimum of 14 days which suppresses the virus.</w:t>
      </w:r>
      <w:r w:rsidRPr="00827A15">
        <w:rPr>
          <w:rFonts w:ascii="Calibri" w:hAnsi="Calibri" w:cs="Calibri"/>
          <w:sz w:val="24"/>
          <w:szCs w:val="24"/>
          <w:lang w:val="en-US"/>
        </w:rPr>
        <w:t xml:space="preserve"> </w:t>
      </w:r>
      <w:r>
        <w:rPr>
          <w:rFonts w:ascii="Calibri" w:hAnsi="Calibri" w:cs="Calibri"/>
          <w:sz w:val="24"/>
          <w:szCs w:val="24"/>
          <w:lang w:val="en-US"/>
        </w:rPr>
        <w:t xml:space="preserve">Sensitive methods used are able to detect virus activity before the onset of infectious symptoms (for instance fever). Therefore, it is assumed such a treatment avoids development of symptomatic infection. In recent year we used preventive therapy in our center which led to prevention of cytomegalovirus infection in </w:t>
      </w:r>
      <w:r w:rsidRPr="00827A15">
        <w:rPr>
          <w:rFonts w:ascii="Calibri" w:hAnsi="Calibri" w:cs="Calibri"/>
          <w:sz w:val="24"/>
          <w:szCs w:val="24"/>
          <w:lang w:val="en-US"/>
        </w:rPr>
        <w:t xml:space="preserve">90% </w:t>
      </w:r>
      <w:r>
        <w:rPr>
          <w:rFonts w:ascii="Calibri" w:hAnsi="Calibri" w:cs="Calibri"/>
          <w:sz w:val="24"/>
          <w:szCs w:val="24"/>
          <w:lang w:val="en-US"/>
        </w:rPr>
        <w:t>patients</w:t>
      </w:r>
      <w:r w:rsidRPr="00827A15">
        <w:rPr>
          <w:rFonts w:ascii="Calibri" w:hAnsi="Calibri" w:cs="Calibri"/>
          <w:sz w:val="24"/>
          <w:szCs w:val="24"/>
          <w:lang w:val="en-US"/>
        </w:rPr>
        <w:t xml:space="preserve">. </w:t>
      </w:r>
      <w:r>
        <w:rPr>
          <w:rFonts w:ascii="Calibri" w:hAnsi="Calibri" w:cs="Calibri"/>
          <w:sz w:val="24"/>
          <w:szCs w:val="24"/>
          <w:lang w:val="en-US"/>
        </w:rPr>
        <w:t>On the other hand, in two thirds of patients without therapy infection developed. More frequent checkups help us to detect infection earlier before the onset of serious symptoms allowing effective therapy.</w:t>
      </w:r>
      <w:r w:rsidRPr="00827A15">
        <w:rPr>
          <w:rFonts w:ascii="Calibri" w:hAnsi="Calibri" w:cs="Calibri"/>
          <w:sz w:val="24"/>
          <w:szCs w:val="24"/>
          <w:lang w:val="en-US"/>
        </w:rPr>
        <w:t xml:space="preserve"> </w:t>
      </w:r>
    </w:p>
    <w:p w:rsidR="00FC0CB8" w:rsidRPr="00827A15" w:rsidRDefault="00FC0CB8" w:rsidP="006C3AB4">
      <w:pPr>
        <w:jc w:val="both"/>
        <w:rPr>
          <w:rFonts w:ascii="Calibri" w:hAnsi="Calibri" w:cs="Calibri"/>
          <w:sz w:val="24"/>
          <w:szCs w:val="24"/>
          <w:lang w:val="en-US"/>
        </w:rPr>
      </w:pPr>
      <w:r>
        <w:rPr>
          <w:rFonts w:ascii="Calibri" w:hAnsi="Calibri" w:cs="Calibri"/>
          <w:sz w:val="24"/>
          <w:szCs w:val="24"/>
          <w:lang w:val="en-US"/>
        </w:rPr>
        <w:t xml:space="preserve">Both drugs are commonly used in the Czech Republic as well as in worldwide and both are well tolerated. Among the most common side effects of </w:t>
      </w:r>
      <w:r w:rsidRPr="00827A15">
        <w:rPr>
          <w:rFonts w:ascii="Calibri" w:hAnsi="Calibri" w:cs="Calibri"/>
          <w:sz w:val="24"/>
          <w:szCs w:val="24"/>
          <w:lang w:val="en-US"/>
        </w:rPr>
        <w:t xml:space="preserve">Valcyte </w:t>
      </w:r>
      <w:r>
        <w:rPr>
          <w:rFonts w:ascii="Calibri" w:hAnsi="Calibri" w:cs="Calibri"/>
          <w:sz w:val="24"/>
          <w:szCs w:val="24"/>
          <w:lang w:val="en-US"/>
        </w:rPr>
        <w:t>belong changes in blood count. Both drugs are indicated for cytomegalovirus prevention after transplantation regardless of your potential enrollment to the study. Every care for the patients enrolled to the study will be the same as in other patients in our transplant center. The results of the study will be used for future treatment of patients after transplantation. In the case of publication, your name will never be released</w:t>
      </w:r>
      <w:r w:rsidRPr="00827A15">
        <w:rPr>
          <w:rFonts w:ascii="Calibri" w:hAnsi="Calibri" w:cs="Calibri"/>
          <w:sz w:val="24"/>
          <w:szCs w:val="24"/>
          <w:lang w:val="en-US"/>
        </w:rPr>
        <w:t xml:space="preserve">. </w:t>
      </w:r>
      <w:r>
        <w:rPr>
          <w:rFonts w:ascii="Calibri" w:hAnsi="Calibri" w:cs="Calibri"/>
          <w:sz w:val="24"/>
          <w:szCs w:val="24"/>
          <w:lang w:val="en-US"/>
        </w:rPr>
        <w:t>If you do not wish to enter the study you will be treated by Valtrex for cytomegalovirus prevention according to current protocol in our center. It is your right to withdraw from the study even without any reason declared. Such a behavior will not have any negative consequences for you.</w:t>
      </w:r>
    </w:p>
    <w:p w:rsidR="00FC0CB8" w:rsidRPr="00827A15" w:rsidRDefault="00FC0CB8" w:rsidP="006C3AB4">
      <w:pPr>
        <w:jc w:val="both"/>
        <w:rPr>
          <w:rFonts w:ascii="Calibri" w:hAnsi="Calibri" w:cs="Calibri"/>
          <w:sz w:val="24"/>
          <w:szCs w:val="24"/>
          <w:lang w:val="en-US"/>
        </w:rPr>
      </w:pPr>
    </w:p>
    <w:p w:rsidR="00FC0CB8" w:rsidRPr="00827A15" w:rsidRDefault="00FC0CB8" w:rsidP="006C3AB4">
      <w:pPr>
        <w:jc w:val="both"/>
        <w:rPr>
          <w:rFonts w:ascii="Calibri" w:hAnsi="Calibri" w:cs="Calibri"/>
          <w:sz w:val="24"/>
          <w:szCs w:val="24"/>
          <w:lang w:val="en-US"/>
        </w:rPr>
      </w:pPr>
      <w:r>
        <w:rPr>
          <w:rFonts w:ascii="Calibri" w:hAnsi="Calibri" w:cs="Calibri"/>
          <w:sz w:val="24"/>
          <w:szCs w:val="24"/>
          <w:lang w:val="en-US"/>
        </w:rPr>
        <w:t>I was informed about study design and all my potential questions have been answered satisfactory. I agree with my participation in the study</w:t>
      </w:r>
      <w:r w:rsidRPr="00827A15">
        <w:rPr>
          <w:rFonts w:ascii="Calibri" w:hAnsi="Calibri" w:cs="Calibri"/>
          <w:sz w:val="24"/>
          <w:szCs w:val="24"/>
          <w:lang w:val="en-US"/>
        </w:rPr>
        <w:t>.</w:t>
      </w:r>
    </w:p>
    <w:p w:rsidR="00FC0CB8" w:rsidRPr="00827A15" w:rsidRDefault="00FC0CB8" w:rsidP="006C3AB4">
      <w:pPr>
        <w:jc w:val="both"/>
        <w:rPr>
          <w:rFonts w:ascii="Calibri" w:hAnsi="Calibri" w:cs="Calibri"/>
          <w:sz w:val="24"/>
          <w:szCs w:val="24"/>
          <w:lang w:val="en-US"/>
        </w:rPr>
      </w:pPr>
    </w:p>
    <w:p w:rsidR="00FC0CB8" w:rsidRPr="00827A15" w:rsidRDefault="00FC0CB8" w:rsidP="006C3AB4">
      <w:pPr>
        <w:jc w:val="both"/>
        <w:rPr>
          <w:rFonts w:ascii="Calibri" w:hAnsi="Calibri" w:cs="Calibri"/>
          <w:sz w:val="24"/>
          <w:szCs w:val="24"/>
          <w:lang w:val="en-US"/>
        </w:rPr>
      </w:pPr>
    </w:p>
    <w:p w:rsidR="00FC0CB8" w:rsidRPr="00827A15" w:rsidRDefault="00FC0CB8" w:rsidP="006C3AB4">
      <w:pPr>
        <w:jc w:val="both"/>
        <w:rPr>
          <w:rFonts w:ascii="Calibri" w:hAnsi="Calibri" w:cs="Calibri"/>
          <w:sz w:val="24"/>
          <w:szCs w:val="24"/>
          <w:lang w:val="en-US"/>
        </w:rPr>
      </w:pPr>
      <w:r>
        <w:rPr>
          <w:rFonts w:ascii="Calibri" w:hAnsi="Calibri" w:cs="Calibri"/>
          <w:sz w:val="24"/>
          <w:szCs w:val="24"/>
          <w:lang w:val="en-US"/>
        </w:rPr>
        <w:t>Informing physician</w:t>
      </w:r>
      <w:r w:rsidRPr="00827A15">
        <w:rPr>
          <w:rFonts w:ascii="Calibri" w:hAnsi="Calibri" w:cs="Calibri"/>
          <w:sz w:val="24"/>
          <w:szCs w:val="24"/>
          <w:lang w:val="en-US"/>
        </w:rPr>
        <w:t>: ..................................</w:t>
      </w:r>
      <w:r w:rsidRPr="00827A15">
        <w:rPr>
          <w:rFonts w:ascii="Calibri" w:hAnsi="Calibri" w:cs="Calibri"/>
          <w:sz w:val="24"/>
          <w:szCs w:val="24"/>
          <w:lang w:val="en-US"/>
        </w:rPr>
        <w:tab/>
      </w:r>
    </w:p>
    <w:p w:rsidR="00FC0CB8" w:rsidRPr="00827A15" w:rsidRDefault="00FC0CB8" w:rsidP="006C3AB4">
      <w:pPr>
        <w:jc w:val="both"/>
        <w:rPr>
          <w:rFonts w:ascii="Calibri" w:hAnsi="Calibri" w:cs="Calibri"/>
          <w:sz w:val="24"/>
          <w:szCs w:val="24"/>
          <w:lang w:val="en-US"/>
        </w:rPr>
      </w:pPr>
    </w:p>
    <w:p w:rsidR="00FC0CB8" w:rsidRPr="00827A15" w:rsidRDefault="00FC0CB8" w:rsidP="006C3AB4">
      <w:pPr>
        <w:jc w:val="both"/>
        <w:rPr>
          <w:rFonts w:ascii="Calibri" w:hAnsi="Calibri" w:cs="Calibri"/>
          <w:sz w:val="24"/>
          <w:szCs w:val="24"/>
          <w:lang w:val="en-US"/>
        </w:rPr>
      </w:pPr>
      <w:r>
        <w:rPr>
          <w:rFonts w:ascii="Calibri" w:hAnsi="Calibri" w:cs="Calibri"/>
          <w:sz w:val="24"/>
          <w:szCs w:val="24"/>
          <w:lang w:val="en-US"/>
        </w:rPr>
        <w:t>Pat</w:t>
      </w:r>
      <w:r w:rsidRPr="00827A15">
        <w:rPr>
          <w:rFonts w:ascii="Calibri" w:hAnsi="Calibri" w:cs="Calibri"/>
          <w:sz w:val="24"/>
          <w:szCs w:val="24"/>
          <w:lang w:val="en-US"/>
        </w:rPr>
        <w:t>ient: .................................................</w:t>
      </w:r>
    </w:p>
    <w:p w:rsidR="00FC0CB8" w:rsidRPr="00827A15" w:rsidRDefault="00FC0CB8" w:rsidP="006C3AB4">
      <w:pPr>
        <w:jc w:val="both"/>
        <w:rPr>
          <w:rFonts w:ascii="Calibri" w:hAnsi="Calibri" w:cs="Calibri"/>
          <w:sz w:val="24"/>
          <w:szCs w:val="24"/>
          <w:lang w:val="en-US"/>
        </w:rPr>
      </w:pPr>
    </w:p>
    <w:p w:rsidR="00FC0CB8" w:rsidRPr="00827A15" w:rsidRDefault="00FC0CB8" w:rsidP="006C3AB4">
      <w:pPr>
        <w:jc w:val="both"/>
        <w:rPr>
          <w:rFonts w:ascii="Calibri" w:hAnsi="Calibri" w:cs="Calibri"/>
          <w:sz w:val="24"/>
          <w:szCs w:val="24"/>
          <w:lang w:val="en-US"/>
        </w:rPr>
      </w:pPr>
      <w:r>
        <w:rPr>
          <w:rFonts w:ascii="Calibri" w:hAnsi="Calibri" w:cs="Calibri"/>
          <w:sz w:val="24"/>
          <w:szCs w:val="24"/>
          <w:lang w:val="en-US"/>
        </w:rPr>
        <w:t>Date</w:t>
      </w:r>
      <w:r w:rsidRPr="00827A15">
        <w:rPr>
          <w:rFonts w:ascii="Calibri" w:hAnsi="Calibri" w:cs="Calibri"/>
          <w:sz w:val="24"/>
          <w:szCs w:val="24"/>
          <w:lang w:val="en-US"/>
        </w:rPr>
        <w:t>:</w:t>
      </w:r>
    </w:p>
    <w:p w:rsidR="00FC0CB8" w:rsidRPr="00DD41EF" w:rsidRDefault="00FC0CB8">
      <w:pPr>
        <w:spacing w:line="360" w:lineRule="auto"/>
        <w:rPr>
          <w:sz w:val="24"/>
          <w:lang w:val="en-US"/>
        </w:rPr>
      </w:pPr>
    </w:p>
    <w:p w:rsidR="00FC0CB8" w:rsidRPr="00B06EF7" w:rsidRDefault="00FC0CB8" w:rsidP="00850219">
      <w:pPr>
        <w:jc w:val="both"/>
        <w:rPr>
          <w:rFonts w:ascii="Courier New" w:hAnsi="Courier New" w:cs="Courier New"/>
          <w:b/>
        </w:rPr>
      </w:pPr>
      <w:r>
        <w:rPr>
          <w:rFonts w:ascii="Courier New" w:hAnsi="Courier New" w:cs="Courier New"/>
          <w:b/>
        </w:rPr>
        <w:br w:type="page"/>
      </w:r>
      <w:r w:rsidRPr="00B06EF7">
        <w:rPr>
          <w:rFonts w:ascii="Courier New" w:hAnsi="Courier New" w:cs="Courier New"/>
          <w:b/>
        </w:rPr>
        <w:lastRenderedPageBreak/>
        <w:t>podepsané poslat s nemocným na chirurgii a kopii nechat pacientovi!</w:t>
      </w:r>
    </w:p>
    <w:p w:rsidR="00FC0CB8" w:rsidRDefault="00FC0CB8" w:rsidP="00850219">
      <w:pPr>
        <w:jc w:val="both"/>
        <w:rPr>
          <w:sz w:val="28"/>
        </w:rPr>
      </w:pPr>
    </w:p>
    <w:p w:rsidR="00FC0CB8" w:rsidRPr="009F2B04" w:rsidRDefault="00FC0CB8" w:rsidP="00850219">
      <w:pPr>
        <w:jc w:val="both"/>
        <w:rPr>
          <w:sz w:val="24"/>
          <w:szCs w:val="24"/>
        </w:rPr>
      </w:pPr>
      <w:r w:rsidRPr="009F2B04">
        <w:rPr>
          <w:sz w:val="24"/>
          <w:szCs w:val="24"/>
        </w:rPr>
        <w:t>Informace pro pacienta</w:t>
      </w:r>
    </w:p>
    <w:p w:rsidR="00FC0CB8" w:rsidRPr="009F2B04" w:rsidRDefault="00FC0CB8" w:rsidP="00850219">
      <w:pPr>
        <w:jc w:val="both"/>
        <w:rPr>
          <w:sz w:val="24"/>
          <w:szCs w:val="24"/>
        </w:rPr>
      </w:pPr>
      <w:r w:rsidRPr="009F2B04">
        <w:rPr>
          <w:sz w:val="24"/>
          <w:szCs w:val="24"/>
        </w:rPr>
        <w:t xml:space="preserve"> </w:t>
      </w:r>
    </w:p>
    <w:p w:rsidR="00FC0CB8" w:rsidRPr="009F2B04" w:rsidRDefault="00FC0CB8" w:rsidP="00850219">
      <w:pPr>
        <w:jc w:val="both"/>
        <w:rPr>
          <w:sz w:val="24"/>
          <w:szCs w:val="24"/>
        </w:rPr>
      </w:pPr>
      <w:r w:rsidRPr="009F2B04">
        <w:rPr>
          <w:sz w:val="24"/>
          <w:szCs w:val="24"/>
        </w:rPr>
        <w:t>Pacienti, kterým byla transplantována ledvina, musí užívat řadu léků, které zabraňují odhojení transplantované ledviny a umožňují její dlouhodobou funkci. Bohužel všechny tyto léky mají i nežádoucí účinky, mezi které patří oslabení obranyschopnosti organismu proti infekcím. Mezi nejčastější a nejzávažnější infekce patří virová infekce způsobená cytomegalovirem. Z tohoto důvodu je snaha této infekci předcházet a včas jí diagnostikovat a léčit.</w:t>
      </w:r>
    </w:p>
    <w:p w:rsidR="00FC0CB8" w:rsidRPr="009F2B04" w:rsidRDefault="00FC0CB8" w:rsidP="00850219">
      <w:pPr>
        <w:jc w:val="both"/>
        <w:rPr>
          <w:sz w:val="24"/>
          <w:szCs w:val="24"/>
        </w:rPr>
      </w:pPr>
    </w:p>
    <w:p w:rsidR="00FC0CB8" w:rsidRPr="009F2B04" w:rsidRDefault="00FC0CB8" w:rsidP="00850219">
      <w:pPr>
        <w:jc w:val="both"/>
        <w:rPr>
          <w:sz w:val="24"/>
          <w:szCs w:val="24"/>
        </w:rPr>
      </w:pPr>
      <w:r w:rsidRPr="009F2B04">
        <w:rPr>
          <w:sz w:val="24"/>
          <w:szCs w:val="24"/>
        </w:rPr>
        <w:t xml:space="preserve">V rámci snahy zabránit této infekci i u našich pacientů, je budeme v prvním roce po transplantaci kontrolovat (klinicky i laboratorním vyšetřením z krve). Jednu skupinu pacientů budeme preventivně léčit prvé tři měsíce lékem Valcyte tbl, u vysoce rizikových bude lék podáván 6 měsíců. U druhé skupiny pacientů bude v častých intervalech (týdně) zkoumána aktivita viru v krvi. Pokud bude aktivita viru zachycena, pacient bude léčen lékem </w:t>
      </w:r>
      <w:r w:rsidRPr="009F2B04">
        <w:rPr>
          <w:sz w:val="24"/>
          <w:szCs w:val="24"/>
          <w:lang w:val="en-US"/>
        </w:rPr>
        <w:t>Valcyt</w:t>
      </w:r>
      <w:r>
        <w:rPr>
          <w:sz w:val="24"/>
          <w:szCs w:val="24"/>
          <w:lang w:val="en-US"/>
        </w:rPr>
        <w:t>e tbl po dobu minimálně 14ti dnů</w:t>
      </w:r>
      <w:r w:rsidRPr="009F2B04">
        <w:rPr>
          <w:sz w:val="24"/>
          <w:szCs w:val="24"/>
          <w:lang w:val="en-US"/>
        </w:rPr>
        <w:t xml:space="preserve"> k potlačení virové infekce. </w:t>
      </w:r>
      <w:proofErr w:type="gramStart"/>
      <w:r w:rsidRPr="009F2B04">
        <w:rPr>
          <w:sz w:val="24"/>
          <w:szCs w:val="24"/>
          <w:lang w:val="en-US"/>
        </w:rPr>
        <w:t xml:space="preserve">Laboratorní vyšetření </w:t>
      </w:r>
      <w:r>
        <w:rPr>
          <w:sz w:val="24"/>
          <w:szCs w:val="24"/>
          <w:lang w:val="en-US"/>
        </w:rPr>
        <w:t xml:space="preserve">umožní </w:t>
      </w:r>
      <w:r w:rsidRPr="009F2B04">
        <w:rPr>
          <w:sz w:val="24"/>
          <w:szCs w:val="24"/>
          <w:lang w:val="en-US"/>
        </w:rPr>
        <w:t>zachytit aktivitu viru ještě před vznikem symptomů infekce (např. teploty).</w:t>
      </w:r>
      <w:proofErr w:type="gramEnd"/>
      <w:r w:rsidRPr="009F2B04">
        <w:rPr>
          <w:sz w:val="24"/>
          <w:szCs w:val="24"/>
          <w:lang w:val="en-US"/>
        </w:rPr>
        <w:t xml:space="preserve"> </w:t>
      </w:r>
      <w:r w:rsidRPr="009F2B04">
        <w:rPr>
          <w:sz w:val="24"/>
          <w:szCs w:val="24"/>
        </w:rPr>
        <w:t xml:space="preserve">Oba </w:t>
      </w:r>
      <w:r>
        <w:rPr>
          <w:sz w:val="24"/>
          <w:szCs w:val="24"/>
        </w:rPr>
        <w:t xml:space="preserve">postupy </w:t>
      </w:r>
      <w:r w:rsidRPr="009F2B04">
        <w:rPr>
          <w:sz w:val="24"/>
          <w:szCs w:val="24"/>
        </w:rPr>
        <w:t xml:space="preserve">snižují pravděpodobnost vzniku cytomegalovirové infekce. V minulých letech jsme oba způsoby užívali a dosáhli tím zabránění vzniku cytomegalovirové infekce u více než 90% léčených pacientů. Naopak, u dvou třetin pacientů, kteří léčbu neužívali, tato infekce vznikla. Častější kontroly nám obecně umožní odhalit infekci ještě před vznikem závažných projevů a včas jí léčit. </w:t>
      </w:r>
    </w:p>
    <w:p w:rsidR="00FC0CB8" w:rsidRPr="009F2B04" w:rsidRDefault="00FC0CB8" w:rsidP="00850219">
      <w:pPr>
        <w:jc w:val="both"/>
        <w:rPr>
          <w:sz w:val="24"/>
          <w:szCs w:val="24"/>
        </w:rPr>
      </w:pPr>
      <w:r w:rsidRPr="009F2B04">
        <w:rPr>
          <w:sz w:val="24"/>
          <w:szCs w:val="24"/>
        </w:rPr>
        <w:t>Podávané léky se běžně v České republice i ve světě užívají a jsou pacienty dobře snášeny. Mezi hlavní nežádoucí účinky Valcyte patří změny v krevním obrazu. Léky jsou indikované v prevenci cytomegalovirové nemoci po transplantaci obecně, tj bez ohledu na Vaše zvažované zařazení do studie. Veškerá péče o pacienty zařazené do zmiňované studie bude stejná jako u ostatních pacientů transplantovaných v našem transplantačním centru. Výsledky studie budou využity při léčení nemocných po transplantaci ledviny, případně i jiných orgánů. V případě publikace nebude Vaše jméno nikde uvedeno. Pokud si nebudete přát účastnit se studie, bude Vám předepsán k prevenci cytomegalovirové infekce podle platného protokolu našeho transplantačního centra Valtrex tbl. Je Vaším právem kdykoliv odstoupit ze studie a to i bez udání důvodu, aniž by to mělo jakékoliv důsledky pro Vás.</w:t>
      </w:r>
    </w:p>
    <w:p w:rsidR="00FC0CB8" w:rsidRPr="009F2B04" w:rsidRDefault="00FC0CB8" w:rsidP="00850219">
      <w:pPr>
        <w:jc w:val="both"/>
        <w:rPr>
          <w:sz w:val="24"/>
          <w:szCs w:val="24"/>
        </w:rPr>
      </w:pPr>
    </w:p>
    <w:p w:rsidR="00FC0CB8" w:rsidRPr="009F2B04" w:rsidRDefault="00FC0CB8" w:rsidP="00850219">
      <w:pPr>
        <w:jc w:val="both"/>
        <w:rPr>
          <w:sz w:val="24"/>
          <w:szCs w:val="24"/>
        </w:rPr>
      </w:pPr>
      <w:r w:rsidRPr="009F2B04">
        <w:rPr>
          <w:sz w:val="24"/>
          <w:szCs w:val="24"/>
        </w:rPr>
        <w:t>Byl jsem seznámen s uspořádáním studie, všechny moje případné otázky mi byly uspokojivě zodpovězeny. Souhlasím s účastí ve studii.</w:t>
      </w:r>
    </w:p>
    <w:p w:rsidR="00FC0CB8" w:rsidRPr="009F2B04" w:rsidRDefault="00FC0CB8" w:rsidP="00850219">
      <w:pPr>
        <w:jc w:val="both"/>
        <w:rPr>
          <w:sz w:val="24"/>
          <w:szCs w:val="24"/>
        </w:rPr>
      </w:pPr>
    </w:p>
    <w:p w:rsidR="00FC0CB8" w:rsidRPr="009F2B04" w:rsidRDefault="00FC0CB8" w:rsidP="00850219">
      <w:pPr>
        <w:jc w:val="both"/>
        <w:rPr>
          <w:sz w:val="24"/>
          <w:szCs w:val="24"/>
        </w:rPr>
      </w:pPr>
    </w:p>
    <w:p w:rsidR="00FC0CB8" w:rsidRPr="009F2B04" w:rsidRDefault="00FC0CB8" w:rsidP="00850219">
      <w:pPr>
        <w:jc w:val="both"/>
        <w:rPr>
          <w:sz w:val="24"/>
          <w:szCs w:val="24"/>
        </w:rPr>
      </w:pPr>
      <w:r w:rsidRPr="009F2B04">
        <w:rPr>
          <w:sz w:val="24"/>
          <w:szCs w:val="24"/>
        </w:rPr>
        <w:t>Informující lékař: ..................................</w:t>
      </w:r>
      <w:r w:rsidRPr="009F2B04">
        <w:rPr>
          <w:sz w:val="24"/>
          <w:szCs w:val="24"/>
        </w:rPr>
        <w:tab/>
      </w:r>
    </w:p>
    <w:p w:rsidR="00FC0CB8" w:rsidRPr="009F2B04" w:rsidRDefault="00FC0CB8" w:rsidP="00850219">
      <w:pPr>
        <w:jc w:val="both"/>
        <w:rPr>
          <w:sz w:val="24"/>
          <w:szCs w:val="24"/>
        </w:rPr>
      </w:pPr>
    </w:p>
    <w:p w:rsidR="00FC0CB8" w:rsidRPr="009F2B04" w:rsidRDefault="00FC0CB8" w:rsidP="00850219">
      <w:pPr>
        <w:jc w:val="both"/>
        <w:rPr>
          <w:sz w:val="24"/>
          <w:szCs w:val="24"/>
        </w:rPr>
      </w:pPr>
      <w:r w:rsidRPr="009F2B04">
        <w:rPr>
          <w:sz w:val="24"/>
          <w:szCs w:val="24"/>
        </w:rPr>
        <w:t>Pacient: .................................................</w:t>
      </w:r>
    </w:p>
    <w:p w:rsidR="00FC0CB8" w:rsidRPr="009F2B04" w:rsidRDefault="00FC0CB8" w:rsidP="00850219">
      <w:pPr>
        <w:jc w:val="both"/>
        <w:rPr>
          <w:sz w:val="24"/>
          <w:szCs w:val="24"/>
        </w:rPr>
      </w:pPr>
    </w:p>
    <w:p w:rsidR="00FC0CB8" w:rsidRPr="009F2B04" w:rsidRDefault="00FC0CB8" w:rsidP="00850219">
      <w:pPr>
        <w:jc w:val="both"/>
        <w:rPr>
          <w:sz w:val="24"/>
          <w:szCs w:val="24"/>
        </w:rPr>
      </w:pPr>
      <w:r w:rsidRPr="009F2B04">
        <w:rPr>
          <w:sz w:val="24"/>
          <w:szCs w:val="24"/>
        </w:rPr>
        <w:t>Datum:</w:t>
      </w:r>
    </w:p>
    <w:p w:rsidR="00FC0CB8" w:rsidRPr="00850219" w:rsidRDefault="00FC0CB8">
      <w:pPr>
        <w:rPr>
          <w:b/>
          <w:lang w:val="en-US"/>
        </w:rPr>
      </w:pPr>
    </w:p>
    <w:sectPr w:rsidR="00FC0CB8" w:rsidRPr="00850219" w:rsidSect="00202F4E">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801"/>
    <w:multiLevelType w:val="singleLevel"/>
    <w:tmpl w:val="914C7998"/>
    <w:lvl w:ilvl="0">
      <w:start w:val="19"/>
      <w:numFmt w:val="bullet"/>
      <w:lvlText w:val="-"/>
      <w:lvlJc w:val="left"/>
      <w:pPr>
        <w:tabs>
          <w:tab w:val="num" w:pos="3900"/>
        </w:tabs>
        <w:ind w:left="3900" w:hanging="360"/>
      </w:pPr>
      <w:rPr>
        <w:rFonts w:hint="default"/>
      </w:rPr>
    </w:lvl>
  </w:abstractNum>
  <w:abstractNum w:abstractNumId="1">
    <w:nsid w:val="152D1595"/>
    <w:multiLevelType w:val="multilevel"/>
    <w:tmpl w:val="B92435C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1DE22D6A"/>
    <w:multiLevelType w:val="singleLevel"/>
    <w:tmpl w:val="F4EC8C2C"/>
    <w:lvl w:ilvl="0">
      <w:start w:val="5"/>
      <w:numFmt w:val="bullet"/>
      <w:lvlText w:val="-"/>
      <w:lvlJc w:val="left"/>
      <w:pPr>
        <w:tabs>
          <w:tab w:val="num" w:pos="3900"/>
        </w:tabs>
        <w:ind w:left="3900" w:hanging="360"/>
      </w:pPr>
      <w:rPr>
        <w:rFonts w:hint="default"/>
      </w:rPr>
    </w:lvl>
  </w:abstractNum>
  <w:abstractNum w:abstractNumId="3">
    <w:nsid w:val="2EB355CF"/>
    <w:multiLevelType w:val="singleLevel"/>
    <w:tmpl w:val="4FE09EFA"/>
    <w:lvl w:ilvl="0">
      <w:start w:val="19"/>
      <w:numFmt w:val="bullet"/>
      <w:lvlText w:val="-"/>
      <w:lvlJc w:val="left"/>
      <w:pPr>
        <w:tabs>
          <w:tab w:val="num" w:pos="3900"/>
        </w:tabs>
        <w:ind w:left="3900" w:hanging="360"/>
      </w:pPr>
      <w:rPr>
        <w:rFonts w:hint="default"/>
      </w:rPr>
    </w:lvl>
  </w:abstractNum>
  <w:abstractNum w:abstractNumId="4">
    <w:nsid w:val="3F822C55"/>
    <w:multiLevelType w:val="singleLevel"/>
    <w:tmpl w:val="F9E8F644"/>
    <w:lvl w:ilvl="0">
      <w:start w:val="19"/>
      <w:numFmt w:val="bullet"/>
      <w:lvlText w:val="-"/>
      <w:lvlJc w:val="left"/>
      <w:pPr>
        <w:tabs>
          <w:tab w:val="num" w:pos="3900"/>
        </w:tabs>
        <w:ind w:left="3900" w:hanging="360"/>
      </w:pPr>
      <w:rPr>
        <w:rFonts w:hint="default"/>
      </w:rPr>
    </w:lvl>
  </w:abstractNum>
  <w:abstractNum w:abstractNumId="5">
    <w:nsid w:val="5E524073"/>
    <w:multiLevelType w:val="hybridMultilevel"/>
    <w:tmpl w:val="6B54065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04C"/>
    <w:rsid w:val="0000656A"/>
    <w:rsid w:val="000146C0"/>
    <w:rsid w:val="00016392"/>
    <w:rsid w:val="000240E3"/>
    <w:rsid w:val="00034214"/>
    <w:rsid w:val="0003700D"/>
    <w:rsid w:val="00046ADA"/>
    <w:rsid w:val="000500CE"/>
    <w:rsid w:val="00056D5D"/>
    <w:rsid w:val="00073179"/>
    <w:rsid w:val="00080414"/>
    <w:rsid w:val="00080A87"/>
    <w:rsid w:val="00085EB6"/>
    <w:rsid w:val="000942A0"/>
    <w:rsid w:val="000A4B32"/>
    <w:rsid w:val="000B5972"/>
    <w:rsid w:val="000D0D27"/>
    <w:rsid w:val="000D4F16"/>
    <w:rsid w:val="000E40F4"/>
    <w:rsid w:val="00103340"/>
    <w:rsid w:val="00106191"/>
    <w:rsid w:val="0011095B"/>
    <w:rsid w:val="001150C5"/>
    <w:rsid w:val="0011713E"/>
    <w:rsid w:val="00124FC6"/>
    <w:rsid w:val="001342F0"/>
    <w:rsid w:val="00135A9D"/>
    <w:rsid w:val="00136F9C"/>
    <w:rsid w:val="00140CFE"/>
    <w:rsid w:val="001416D8"/>
    <w:rsid w:val="00144360"/>
    <w:rsid w:val="001449C4"/>
    <w:rsid w:val="00146B32"/>
    <w:rsid w:val="00162E83"/>
    <w:rsid w:val="0016427D"/>
    <w:rsid w:val="001705F9"/>
    <w:rsid w:val="00173C46"/>
    <w:rsid w:val="00177711"/>
    <w:rsid w:val="0018058B"/>
    <w:rsid w:val="00192C6F"/>
    <w:rsid w:val="00195179"/>
    <w:rsid w:val="00196109"/>
    <w:rsid w:val="0019746C"/>
    <w:rsid w:val="001A7173"/>
    <w:rsid w:val="001B445D"/>
    <w:rsid w:val="001B6971"/>
    <w:rsid w:val="001C7B96"/>
    <w:rsid w:val="001D1020"/>
    <w:rsid w:val="001D50CD"/>
    <w:rsid w:val="001E391F"/>
    <w:rsid w:val="001E503F"/>
    <w:rsid w:val="001E704C"/>
    <w:rsid w:val="001F0664"/>
    <w:rsid w:val="001F1A34"/>
    <w:rsid w:val="001F1CA9"/>
    <w:rsid w:val="001F428D"/>
    <w:rsid w:val="001F4B23"/>
    <w:rsid w:val="00202F4E"/>
    <w:rsid w:val="00206D92"/>
    <w:rsid w:val="00213050"/>
    <w:rsid w:val="00216F39"/>
    <w:rsid w:val="00224379"/>
    <w:rsid w:val="0022662C"/>
    <w:rsid w:val="0023108D"/>
    <w:rsid w:val="00236DBC"/>
    <w:rsid w:val="00237A29"/>
    <w:rsid w:val="0024694D"/>
    <w:rsid w:val="002561DE"/>
    <w:rsid w:val="00271741"/>
    <w:rsid w:val="00274346"/>
    <w:rsid w:val="00274C3F"/>
    <w:rsid w:val="00277196"/>
    <w:rsid w:val="0028117F"/>
    <w:rsid w:val="00283A60"/>
    <w:rsid w:val="002848BB"/>
    <w:rsid w:val="002A3D25"/>
    <w:rsid w:val="002B1AFB"/>
    <w:rsid w:val="002B32A3"/>
    <w:rsid w:val="002B39C3"/>
    <w:rsid w:val="002B5E48"/>
    <w:rsid w:val="002B6B59"/>
    <w:rsid w:val="002B7F50"/>
    <w:rsid w:val="002C14F6"/>
    <w:rsid w:val="002C4CFF"/>
    <w:rsid w:val="002C4FA4"/>
    <w:rsid w:val="002D0DB4"/>
    <w:rsid w:val="002D27EE"/>
    <w:rsid w:val="002F3C97"/>
    <w:rsid w:val="00300A21"/>
    <w:rsid w:val="00305C0B"/>
    <w:rsid w:val="0030614D"/>
    <w:rsid w:val="0031241B"/>
    <w:rsid w:val="0031734D"/>
    <w:rsid w:val="00332B77"/>
    <w:rsid w:val="00340E5E"/>
    <w:rsid w:val="00344D69"/>
    <w:rsid w:val="00352F69"/>
    <w:rsid w:val="003606E4"/>
    <w:rsid w:val="00364806"/>
    <w:rsid w:val="0037451C"/>
    <w:rsid w:val="00381ECA"/>
    <w:rsid w:val="00383830"/>
    <w:rsid w:val="003905A2"/>
    <w:rsid w:val="00390AF9"/>
    <w:rsid w:val="0039298A"/>
    <w:rsid w:val="00396872"/>
    <w:rsid w:val="003C08D7"/>
    <w:rsid w:val="003D7E6D"/>
    <w:rsid w:val="003E685B"/>
    <w:rsid w:val="003F1C07"/>
    <w:rsid w:val="003F2FDA"/>
    <w:rsid w:val="003F4052"/>
    <w:rsid w:val="003F7DC7"/>
    <w:rsid w:val="0040320F"/>
    <w:rsid w:val="004232A4"/>
    <w:rsid w:val="0044366F"/>
    <w:rsid w:val="00451276"/>
    <w:rsid w:val="004534EC"/>
    <w:rsid w:val="00456071"/>
    <w:rsid w:val="00464237"/>
    <w:rsid w:val="00472D92"/>
    <w:rsid w:val="00474130"/>
    <w:rsid w:val="004747F4"/>
    <w:rsid w:val="00480A4E"/>
    <w:rsid w:val="004833FE"/>
    <w:rsid w:val="00483B42"/>
    <w:rsid w:val="004A5462"/>
    <w:rsid w:val="004B1BC6"/>
    <w:rsid w:val="004C3A30"/>
    <w:rsid w:val="004D231F"/>
    <w:rsid w:val="005059EC"/>
    <w:rsid w:val="005225F2"/>
    <w:rsid w:val="00530772"/>
    <w:rsid w:val="00531883"/>
    <w:rsid w:val="00532C77"/>
    <w:rsid w:val="00541706"/>
    <w:rsid w:val="00566E51"/>
    <w:rsid w:val="00571734"/>
    <w:rsid w:val="00574134"/>
    <w:rsid w:val="00577C79"/>
    <w:rsid w:val="00587E52"/>
    <w:rsid w:val="0059538A"/>
    <w:rsid w:val="00595F81"/>
    <w:rsid w:val="005B337D"/>
    <w:rsid w:val="005C00B8"/>
    <w:rsid w:val="005C4DD4"/>
    <w:rsid w:val="005C64E8"/>
    <w:rsid w:val="005D2C20"/>
    <w:rsid w:val="005E06B7"/>
    <w:rsid w:val="005E1218"/>
    <w:rsid w:val="005E74FE"/>
    <w:rsid w:val="005E758C"/>
    <w:rsid w:val="005E7B22"/>
    <w:rsid w:val="005F2A2D"/>
    <w:rsid w:val="00602BD7"/>
    <w:rsid w:val="00606E94"/>
    <w:rsid w:val="00614FE6"/>
    <w:rsid w:val="00616088"/>
    <w:rsid w:val="00633665"/>
    <w:rsid w:val="006418E6"/>
    <w:rsid w:val="00646945"/>
    <w:rsid w:val="006549BF"/>
    <w:rsid w:val="006559C8"/>
    <w:rsid w:val="00663A10"/>
    <w:rsid w:val="00664D58"/>
    <w:rsid w:val="006721B3"/>
    <w:rsid w:val="00674491"/>
    <w:rsid w:val="006B0E37"/>
    <w:rsid w:val="006C3AB4"/>
    <w:rsid w:val="006C7517"/>
    <w:rsid w:val="006E462D"/>
    <w:rsid w:val="00704A11"/>
    <w:rsid w:val="007118B0"/>
    <w:rsid w:val="00717269"/>
    <w:rsid w:val="00721028"/>
    <w:rsid w:val="007210F7"/>
    <w:rsid w:val="00732BDF"/>
    <w:rsid w:val="00734839"/>
    <w:rsid w:val="00742A5C"/>
    <w:rsid w:val="007518D3"/>
    <w:rsid w:val="00760C07"/>
    <w:rsid w:val="0077642E"/>
    <w:rsid w:val="007974A2"/>
    <w:rsid w:val="007A0239"/>
    <w:rsid w:val="007A088B"/>
    <w:rsid w:val="007A487A"/>
    <w:rsid w:val="007B07FD"/>
    <w:rsid w:val="007B2DBB"/>
    <w:rsid w:val="007B794F"/>
    <w:rsid w:val="007C23ED"/>
    <w:rsid w:val="007D25B2"/>
    <w:rsid w:val="007D757C"/>
    <w:rsid w:val="0080287C"/>
    <w:rsid w:val="0082184F"/>
    <w:rsid w:val="00827A15"/>
    <w:rsid w:val="00850219"/>
    <w:rsid w:val="0085688D"/>
    <w:rsid w:val="00863708"/>
    <w:rsid w:val="00870A4C"/>
    <w:rsid w:val="008725AB"/>
    <w:rsid w:val="00877665"/>
    <w:rsid w:val="00892F61"/>
    <w:rsid w:val="00894E30"/>
    <w:rsid w:val="008A4CEB"/>
    <w:rsid w:val="008B4E5E"/>
    <w:rsid w:val="008B7914"/>
    <w:rsid w:val="008C57A8"/>
    <w:rsid w:val="008C5C48"/>
    <w:rsid w:val="008D0407"/>
    <w:rsid w:val="008E3280"/>
    <w:rsid w:val="008F2B2E"/>
    <w:rsid w:val="008F3F92"/>
    <w:rsid w:val="00902840"/>
    <w:rsid w:val="00913E3E"/>
    <w:rsid w:val="00915236"/>
    <w:rsid w:val="00915291"/>
    <w:rsid w:val="00930C2B"/>
    <w:rsid w:val="0094189C"/>
    <w:rsid w:val="0096667C"/>
    <w:rsid w:val="00972DB1"/>
    <w:rsid w:val="009804BF"/>
    <w:rsid w:val="0099330A"/>
    <w:rsid w:val="009A2468"/>
    <w:rsid w:val="009A2AD6"/>
    <w:rsid w:val="009D53BC"/>
    <w:rsid w:val="009E0DC0"/>
    <w:rsid w:val="009E5649"/>
    <w:rsid w:val="009F0A72"/>
    <w:rsid w:val="009F2B04"/>
    <w:rsid w:val="009F43B2"/>
    <w:rsid w:val="009F52AE"/>
    <w:rsid w:val="00A048A6"/>
    <w:rsid w:val="00A07A3E"/>
    <w:rsid w:val="00A14415"/>
    <w:rsid w:val="00A179CC"/>
    <w:rsid w:val="00A30776"/>
    <w:rsid w:val="00A34782"/>
    <w:rsid w:val="00A50B20"/>
    <w:rsid w:val="00A50EBB"/>
    <w:rsid w:val="00A63C68"/>
    <w:rsid w:val="00A7035B"/>
    <w:rsid w:val="00A738F4"/>
    <w:rsid w:val="00A76DA1"/>
    <w:rsid w:val="00A91F5E"/>
    <w:rsid w:val="00A97B7F"/>
    <w:rsid w:val="00AA001C"/>
    <w:rsid w:val="00AB615B"/>
    <w:rsid w:val="00AB64A9"/>
    <w:rsid w:val="00AC0457"/>
    <w:rsid w:val="00AF5AB5"/>
    <w:rsid w:val="00B001F5"/>
    <w:rsid w:val="00B06EF7"/>
    <w:rsid w:val="00B17AA7"/>
    <w:rsid w:val="00B219FD"/>
    <w:rsid w:val="00B22972"/>
    <w:rsid w:val="00B30BB8"/>
    <w:rsid w:val="00B37B9B"/>
    <w:rsid w:val="00B40359"/>
    <w:rsid w:val="00B43B03"/>
    <w:rsid w:val="00B57853"/>
    <w:rsid w:val="00B63D41"/>
    <w:rsid w:val="00B6426F"/>
    <w:rsid w:val="00B663FE"/>
    <w:rsid w:val="00B92315"/>
    <w:rsid w:val="00B9436D"/>
    <w:rsid w:val="00B95B21"/>
    <w:rsid w:val="00BB3890"/>
    <w:rsid w:val="00BC6C71"/>
    <w:rsid w:val="00BD219E"/>
    <w:rsid w:val="00BD73C7"/>
    <w:rsid w:val="00BE4BE5"/>
    <w:rsid w:val="00BF70B0"/>
    <w:rsid w:val="00C05BD9"/>
    <w:rsid w:val="00C325FB"/>
    <w:rsid w:val="00C338D3"/>
    <w:rsid w:val="00C3449E"/>
    <w:rsid w:val="00C353D0"/>
    <w:rsid w:val="00C40957"/>
    <w:rsid w:val="00C435BC"/>
    <w:rsid w:val="00C44D16"/>
    <w:rsid w:val="00C44F43"/>
    <w:rsid w:val="00C473E6"/>
    <w:rsid w:val="00C47EF4"/>
    <w:rsid w:val="00C504C3"/>
    <w:rsid w:val="00C574D9"/>
    <w:rsid w:val="00C62E85"/>
    <w:rsid w:val="00C73748"/>
    <w:rsid w:val="00C77827"/>
    <w:rsid w:val="00C77B0E"/>
    <w:rsid w:val="00C80FAE"/>
    <w:rsid w:val="00C82611"/>
    <w:rsid w:val="00C82F94"/>
    <w:rsid w:val="00C861FF"/>
    <w:rsid w:val="00CB5E06"/>
    <w:rsid w:val="00CB6922"/>
    <w:rsid w:val="00CC180B"/>
    <w:rsid w:val="00CC3066"/>
    <w:rsid w:val="00CC7CDB"/>
    <w:rsid w:val="00CE12EE"/>
    <w:rsid w:val="00CE72F8"/>
    <w:rsid w:val="00CF571F"/>
    <w:rsid w:val="00D11951"/>
    <w:rsid w:val="00D154EE"/>
    <w:rsid w:val="00D2507C"/>
    <w:rsid w:val="00D270EA"/>
    <w:rsid w:val="00D30EB2"/>
    <w:rsid w:val="00D31126"/>
    <w:rsid w:val="00D34418"/>
    <w:rsid w:val="00D434E6"/>
    <w:rsid w:val="00D65ECB"/>
    <w:rsid w:val="00D8150A"/>
    <w:rsid w:val="00D87DCF"/>
    <w:rsid w:val="00D94BCF"/>
    <w:rsid w:val="00D97213"/>
    <w:rsid w:val="00DA019F"/>
    <w:rsid w:val="00DA5462"/>
    <w:rsid w:val="00DB03C9"/>
    <w:rsid w:val="00DB14A8"/>
    <w:rsid w:val="00DB6147"/>
    <w:rsid w:val="00DC499C"/>
    <w:rsid w:val="00DC54B1"/>
    <w:rsid w:val="00DD41EF"/>
    <w:rsid w:val="00DE038A"/>
    <w:rsid w:val="00DF0135"/>
    <w:rsid w:val="00DF591F"/>
    <w:rsid w:val="00E053A4"/>
    <w:rsid w:val="00E070A9"/>
    <w:rsid w:val="00E07780"/>
    <w:rsid w:val="00E1010C"/>
    <w:rsid w:val="00E101BD"/>
    <w:rsid w:val="00E14375"/>
    <w:rsid w:val="00E14A7B"/>
    <w:rsid w:val="00E20E56"/>
    <w:rsid w:val="00E21DC4"/>
    <w:rsid w:val="00E32371"/>
    <w:rsid w:val="00E3467C"/>
    <w:rsid w:val="00E367A7"/>
    <w:rsid w:val="00E4328C"/>
    <w:rsid w:val="00E44E86"/>
    <w:rsid w:val="00E4534B"/>
    <w:rsid w:val="00E56604"/>
    <w:rsid w:val="00E6304A"/>
    <w:rsid w:val="00E633F3"/>
    <w:rsid w:val="00E80E50"/>
    <w:rsid w:val="00E828F7"/>
    <w:rsid w:val="00E82A0A"/>
    <w:rsid w:val="00EB4C47"/>
    <w:rsid w:val="00EB4FCA"/>
    <w:rsid w:val="00EC05B1"/>
    <w:rsid w:val="00EC6B49"/>
    <w:rsid w:val="00ED7992"/>
    <w:rsid w:val="00EE59D1"/>
    <w:rsid w:val="00EE68DA"/>
    <w:rsid w:val="00EF3B97"/>
    <w:rsid w:val="00EF7ED8"/>
    <w:rsid w:val="00F01DAC"/>
    <w:rsid w:val="00F03DA9"/>
    <w:rsid w:val="00F04250"/>
    <w:rsid w:val="00F27EB7"/>
    <w:rsid w:val="00F32086"/>
    <w:rsid w:val="00F3237B"/>
    <w:rsid w:val="00F3758D"/>
    <w:rsid w:val="00F3795F"/>
    <w:rsid w:val="00F41A65"/>
    <w:rsid w:val="00F424FE"/>
    <w:rsid w:val="00F425F8"/>
    <w:rsid w:val="00F51A22"/>
    <w:rsid w:val="00F5297C"/>
    <w:rsid w:val="00F53899"/>
    <w:rsid w:val="00F538B5"/>
    <w:rsid w:val="00F546C0"/>
    <w:rsid w:val="00F56E50"/>
    <w:rsid w:val="00F7531E"/>
    <w:rsid w:val="00F83B08"/>
    <w:rsid w:val="00F925FB"/>
    <w:rsid w:val="00FB0C23"/>
    <w:rsid w:val="00FB2F1B"/>
    <w:rsid w:val="00FC0CB8"/>
    <w:rsid w:val="00FD0908"/>
    <w:rsid w:val="00FD1B41"/>
    <w:rsid w:val="00FD48BB"/>
    <w:rsid w:val="00FD4DDB"/>
    <w:rsid w:val="00FD5875"/>
    <w:rsid w:val="00FF499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001F5"/>
  </w:style>
  <w:style w:type="paragraph" w:styleId="Nadpis1">
    <w:name w:val="heading 1"/>
    <w:basedOn w:val="Normln"/>
    <w:next w:val="Normln"/>
    <w:link w:val="Nadpis1Char"/>
    <w:uiPriority w:val="99"/>
    <w:qFormat/>
    <w:rsid w:val="00202F4E"/>
    <w:pPr>
      <w:keepNext/>
      <w:spacing w:line="360" w:lineRule="auto"/>
      <w:outlineLvl w:val="0"/>
    </w:pPr>
    <w:rPr>
      <w:b/>
      <w:small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6667C"/>
    <w:rPr>
      <w:rFonts w:ascii="Cambria" w:hAnsi="Cambria" w:cs="Times New Roman"/>
      <w:b/>
      <w:bCs/>
      <w:kern w:val="32"/>
      <w:sz w:val="32"/>
      <w:szCs w:val="32"/>
    </w:rPr>
  </w:style>
  <w:style w:type="paragraph" w:customStyle="1" w:styleId="DefinitionList">
    <w:name w:val="Definition List"/>
    <w:basedOn w:val="Normln"/>
    <w:next w:val="Normln"/>
    <w:uiPriority w:val="99"/>
    <w:rsid w:val="00202F4E"/>
    <w:pPr>
      <w:ind w:left="360"/>
    </w:pPr>
    <w:rPr>
      <w:sz w:val="24"/>
    </w:rPr>
  </w:style>
  <w:style w:type="character" w:styleId="Hypertextovodkaz">
    <w:name w:val="Hyperlink"/>
    <w:basedOn w:val="Standardnpsmoodstavce"/>
    <w:uiPriority w:val="99"/>
    <w:rsid w:val="00202F4E"/>
    <w:rPr>
      <w:rFonts w:cs="Times New Roman"/>
      <w:color w:val="0000FF"/>
      <w:u w:val="single"/>
    </w:rPr>
  </w:style>
  <w:style w:type="paragraph" w:styleId="Zkladntext">
    <w:name w:val="Body Text"/>
    <w:basedOn w:val="Normln"/>
    <w:link w:val="ZkladntextChar"/>
    <w:uiPriority w:val="99"/>
    <w:rsid w:val="00202F4E"/>
    <w:pPr>
      <w:spacing w:line="360" w:lineRule="auto"/>
    </w:pPr>
    <w:rPr>
      <w:sz w:val="24"/>
    </w:rPr>
  </w:style>
  <w:style w:type="character" w:customStyle="1" w:styleId="ZkladntextChar">
    <w:name w:val="Základní text Char"/>
    <w:basedOn w:val="Standardnpsmoodstavce"/>
    <w:link w:val="Zkladntext"/>
    <w:uiPriority w:val="99"/>
    <w:semiHidden/>
    <w:locked/>
    <w:rsid w:val="0096667C"/>
    <w:rPr>
      <w:rFonts w:cs="Times New Roman"/>
      <w:sz w:val="20"/>
      <w:szCs w:val="20"/>
    </w:rPr>
  </w:style>
  <w:style w:type="character" w:styleId="Zvraznn">
    <w:name w:val="Emphasis"/>
    <w:basedOn w:val="Standardnpsmoodstavce"/>
    <w:uiPriority w:val="99"/>
    <w:qFormat/>
    <w:rsid w:val="00BD219E"/>
    <w:rPr>
      <w:rFonts w:cs="Times New Roman"/>
      <w:i/>
      <w:iCs/>
    </w:rPr>
  </w:style>
  <w:style w:type="paragraph" w:styleId="Odstavecseseznamem">
    <w:name w:val="List Paragraph"/>
    <w:basedOn w:val="Normln"/>
    <w:uiPriority w:val="99"/>
    <w:qFormat/>
    <w:rsid w:val="00827A15"/>
    <w:pPr>
      <w:ind w:left="720"/>
      <w:contextualSpacing/>
    </w:pPr>
  </w:style>
  <w:style w:type="paragraph" w:styleId="Zkladntext2">
    <w:name w:val="Body Text 2"/>
    <w:basedOn w:val="Normln"/>
    <w:link w:val="Zkladntext2Char"/>
    <w:uiPriority w:val="99"/>
    <w:rsid w:val="00F7531E"/>
    <w:pPr>
      <w:spacing w:after="120" w:line="480" w:lineRule="auto"/>
    </w:pPr>
  </w:style>
  <w:style w:type="character" w:customStyle="1" w:styleId="Zkladntext2Char">
    <w:name w:val="Základní text 2 Char"/>
    <w:basedOn w:val="Standardnpsmoodstavce"/>
    <w:link w:val="Zkladntext2"/>
    <w:uiPriority w:val="99"/>
    <w:semiHidden/>
    <w:locked/>
    <w:rsid w:val="00D11951"/>
    <w:rPr>
      <w:rFonts w:cs="Times New Roman"/>
      <w:sz w:val="20"/>
      <w:szCs w:val="20"/>
    </w:rPr>
  </w:style>
  <w:style w:type="paragraph" w:customStyle="1" w:styleId="desc">
    <w:name w:val="desc"/>
    <w:basedOn w:val="Normln"/>
    <w:uiPriority w:val="99"/>
    <w:rsid w:val="00F27EB7"/>
    <w:pPr>
      <w:spacing w:before="100" w:beforeAutospacing="1" w:after="100" w:afterAutospacing="1"/>
    </w:pPr>
    <w:rPr>
      <w:sz w:val="24"/>
      <w:szCs w:val="24"/>
    </w:rPr>
  </w:style>
  <w:style w:type="character" w:customStyle="1" w:styleId="WW-Absatz-Standardschriftart11111">
    <w:name w:val="WW-Absatz-Standardschriftart11111"/>
    <w:uiPriority w:val="99"/>
    <w:rsid w:val="00B63D41"/>
  </w:style>
  <w:style w:type="character" w:customStyle="1" w:styleId="highlight">
    <w:name w:val="highlight"/>
    <w:basedOn w:val="Standardnpsmoodstavce"/>
    <w:uiPriority w:val="99"/>
    <w:rsid w:val="006559C8"/>
    <w:rPr>
      <w:rFonts w:cs="Times New Roman"/>
    </w:rPr>
  </w:style>
</w:styles>
</file>

<file path=word/webSettings.xml><?xml version="1.0" encoding="utf-8"?>
<w:webSettings xmlns:r="http://schemas.openxmlformats.org/officeDocument/2006/relationships" xmlns:w="http://schemas.openxmlformats.org/wordprocessingml/2006/main">
  <w:divs>
    <w:div w:id="574048981">
      <w:marLeft w:val="0"/>
      <w:marRight w:val="0"/>
      <w:marTop w:val="0"/>
      <w:marBottom w:val="0"/>
      <w:divBdr>
        <w:top w:val="none" w:sz="0" w:space="0" w:color="auto"/>
        <w:left w:val="none" w:sz="0" w:space="0" w:color="auto"/>
        <w:bottom w:val="none" w:sz="0" w:space="0" w:color="auto"/>
        <w:right w:val="none" w:sz="0" w:space="0" w:color="auto"/>
      </w:divBdr>
      <w:divsChild>
        <w:div w:id="574048994">
          <w:marLeft w:val="0"/>
          <w:marRight w:val="0"/>
          <w:marTop w:val="0"/>
          <w:marBottom w:val="0"/>
          <w:divBdr>
            <w:top w:val="none" w:sz="0" w:space="0" w:color="auto"/>
            <w:left w:val="none" w:sz="0" w:space="0" w:color="auto"/>
            <w:bottom w:val="none" w:sz="0" w:space="0" w:color="auto"/>
            <w:right w:val="none" w:sz="0" w:space="0" w:color="auto"/>
          </w:divBdr>
          <w:divsChild>
            <w:div w:id="574048983">
              <w:marLeft w:val="0"/>
              <w:marRight w:val="0"/>
              <w:marTop w:val="0"/>
              <w:marBottom w:val="0"/>
              <w:divBdr>
                <w:top w:val="none" w:sz="0" w:space="0" w:color="auto"/>
                <w:left w:val="none" w:sz="0" w:space="0" w:color="auto"/>
                <w:bottom w:val="none" w:sz="0" w:space="0" w:color="auto"/>
                <w:right w:val="none" w:sz="0" w:space="0" w:color="auto"/>
              </w:divBdr>
              <w:divsChild>
                <w:div w:id="574048996">
                  <w:marLeft w:val="0"/>
                  <w:marRight w:val="0"/>
                  <w:marTop w:val="0"/>
                  <w:marBottom w:val="0"/>
                  <w:divBdr>
                    <w:top w:val="none" w:sz="0" w:space="0" w:color="auto"/>
                    <w:left w:val="none" w:sz="0" w:space="0" w:color="auto"/>
                    <w:bottom w:val="none" w:sz="0" w:space="0" w:color="auto"/>
                    <w:right w:val="none" w:sz="0" w:space="0" w:color="auto"/>
                  </w:divBdr>
                  <w:divsChild>
                    <w:div w:id="574048984">
                      <w:marLeft w:val="0"/>
                      <w:marRight w:val="0"/>
                      <w:marTop w:val="0"/>
                      <w:marBottom w:val="0"/>
                      <w:divBdr>
                        <w:top w:val="none" w:sz="0" w:space="0" w:color="auto"/>
                        <w:left w:val="none" w:sz="0" w:space="0" w:color="auto"/>
                        <w:bottom w:val="none" w:sz="0" w:space="0" w:color="auto"/>
                        <w:right w:val="none" w:sz="0" w:space="0" w:color="auto"/>
                      </w:divBdr>
                      <w:divsChild>
                        <w:div w:id="574048986">
                          <w:marLeft w:val="0"/>
                          <w:marRight w:val="0"/>
                          <w:marTop w:val="0"/>
                          <w:marBottom w:val="0"/>
                          <w:divBdr>
                            <w:top w:val="none" w:sz="0" w:space="0" w:color="auto"/>
                            <w:left w:val="none" w:sz="0" w:space="0" w:color="auto"/>
                            <w:bottom w:val="none" w:sz="0" w:space="0" w:color="auto"/>
                            <w:right w:val="none" w:sz="0" w:space="0" w:color="auto"/>
                          </w:divBdr>
                          <w:divsChild>
                            <w:div w:id="574048989">
                              <w:marLeft w:val="0"/>
                              <w:marRight w:val="0"/>
                              <w:marTop w:val="0"/>
                              <w:marBottom w:val="0"/>
                              <w:divBdr>
                                <w:top w:val="none" w:sz="0" w:space="0" w:color="auto"/>
                                <w:left w:val="none" w:sz="0" w:space="0" w:color="auto"/>
                                <w:bottom w:val="none" w:sz="0" w:space="0" w:color="auto"/>
                                <w:right w:val="none" w:sz="0" w:space="0" w:color="auto"/>
                              </w:divBdr>
                              <w:divsChild>
                                <w:div w:id="574048990">
                                  <w:marLeft w:val="0"/>
                                  <w:marRight w:val="0"/>
                                  <w:marTop w:val="0"/>
                                  <w:marBottom w:val="0"/>
                                  <w:divBdr>
                                    <w:top w:val="none" w:sz="0" w:space="0" w:color="auto"/>
                                    <w:left w:val="none" w:sz="0" w:space="0" w:color="auto"/>
                                    <w:bottom w:val="none" w:sz="0" w:space="0" w:color="auto"/>
                                    <w:right w:val="none" w:sz="0" w:space="0" w:color="auto"/>
                                  </w:divBdr>
                                  <w:divsChild>
                                    <w:div w:id="574048980">
                                      <w:marLeft w:val="0"/>
                                      <w:marRight w:val="0"/>
                                      <w:marTop w:val="0"/>
                                      <w:marBottom w:val="0"/>
                                      <w:divBdr>
                                        <w:top w:val="none" w:sz="0" w:space="0" w:color="auto"/>
                                        <w:left w:val="none" w:sz="0" w:space="0" w:color="auto"/>
                                        <w:bottom w:val="none" w:sz="0" w:space="0" w:color="auto"/>
                                        <w:right w:val="none" w:sz="0" w:space="0" w:color="auto"/>
                                      </w:divBdr>
                                      <w:divsChild>
                                        <w:div w:id="5740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048988">
      <w:marLeft w:val="0"/>
      <w:marRight w:val="0"/>
      <w:marTop w:val="0"/>
      <w:marBottom w:val="0"/>
      <w:divBdr>
        <w:top w:val="none" w:sz="0" w:space="0" w:color="auto"/>
        <w:left w:val="none" w:sz="0" w:space="0" w:color="auto"/>
        <w:bottom w:val="none" w:sz="0" w:space="0" w:color="auto"/>
        <w:right w:val="none" w:sz="0" w:space="0" w:color="auto"/>
      </w:divBdr>
      <w:divsChild>
        <w:div w:id="574048978">
          <w:marLeft w:val="0"/>
          <w:marRight w:val="0"/>
          <w:marTop w:val="0"/>
          <w:marBottom w:val="0"/>
          <w:divBdr>
            <w:top w:val="none" w:sz="0" w:space="0" w:color="auto"/>
            <w:left w:val="none" w:sz="0" w:space="0" w:color="auto"/>
            <w:bottom w:val="none" w:sz="0" w:space="0" w:color="auto"/>
            <w:right w:val="none" w:sz="0" w:space="0" w:color="auto"/>
          </w:divBdr>
          <w:divsChild>
            <w:div w:id="574048991">
              <w:marLeft w:val="0"/>
              <w:marRight w:val="0"/>
              <w:marTop w:val="0"/>
              <w:marBottom w:val="0"/>
              <w:divBdr>
                <w:top w:val="none" w:sz="0" w:space="0" w:color="auto"/>
                <w:left w:val="none" w:sz="0" w:space="0" w:color="auto"/>
                <w:bottom w:val="none" w:sz="0" w:space="0" w:color="auto"/>
                <w:right w:val="none" w:sz="0" w:space="0" w:color="auto"/>
              </w:divBdr>
              <w:divsChild>
                <w:div w:id="574048985">
                  <w:marLeft w:val="0"/>
                  <w:marRight w:val="0"/>
                  <w:marTop w:val="0"/>
                  <w:marBottom w:val="0"/>
                  <w:divBdr>
                    <w:top w:val="none" w:sz="0" w:space="0" w:color="auto"/>
                    <w:left w:val="none" w:sz="0" w:space="0" w:color="auto"/>
                    <w:bottom w:val="none" w:sz="0" w:space="0" w:color="auto"/>
                    <w:right w:val="none" w:sz="0" w:space="0" w:color="auto"/>
                  </w:divBdr>
                  <w:divsChild>
                    <w:div w:id="574048979">
                      <w:marLeft w:val="0"/>
                      <w:marRight w:val="0"/>
                      <w:marTop w:val="0"/>
                      <w:marBottom w:val="0"/>
                      <w:divBdr>
                        <w:top w:val="none" w:sz="0" w:space="0" w:color="auto"/>
                        <w:left w:val="none" w:sz="0" w:space="0" w:color="auto"/>
                        <w:bottom w:val="none" w:sz="0" w:space="0" w:color="auto"/>
                        <w:right w:val="none" w:sz="0" w:space="0" w:color="auto"/>
                      </w:divBdr>
                      <w:divsChild>
                        <w:div w:id="574048987">
                          <w:marLeft w:val="0"/>
                          <w:marRight w:val="0"/>
                          <w:marTop w:val="0"/>
                          <w:marBottom w:val="0"/>
                          <w:divBdr>
                            <w:top w:val="none" w:sz="0" w:space="0" w:color="auto"/>
                            <w:left w:val="none" w:sz="0" w:space="0" w:color="auto"/>
                            <w:bottom w:val="none" w:sz="0" w:space="0" w:color="auto"/>
                            <w:right w:val="none" w:sz="0" w:space="0" w:color="auto"/>
                          </w:divBdr>
                          <w:divsChild>
                            <w:div w:id="574048982">
                              <w:marLeft w:val="0"/>
                              <w:marRight w:val="0"/>
                              <w:marTop w:val="0"/>
                              <w:marBottom w:val="0"/>
                              <w:divBdr>
                                <w:top w:val="none" w:sz="0" w:space="0" w:color="auto"/>
                                <w:left w:val="none" w:sz="0" w:space="0" w:color="auto"/>
                                <w:bottom w:val="none" w:sz="0" w:space="0" w:color="auto"/>
                                <w:right w:val="none" w:sz="0" w:space="0" w:color="auto"/>
                              </w:divBdr>
                              <w:divsChild>
                                <w:div w:id="574048993">
                                  <w:marLeft w:val="0"/>
                                  <w:marRight w:val="0"/>
                                  <w:marTop w:val="0"/>
                                  <w:marBottom w:val="0"/>
                                  <w:divBdr>
                                    <w:top w:val="none" w:sz="0" w:space="0" w:color="auto"/>
                                    <w:left w:val="none" w:sz="0" w:space="0" w:color="auto"/>
                                    <w:bottom w:val="none" w:sz="0" w:space="0" w:color="auto"/>
                                    <w:right w:val="none" w:sz="0" w:space="0" w:color="auto"/>
                                  </w:divBdr>
                                  <w:divsChild>
                                    <w:div w:id="574048995">
                                      <w:marLeft w:val="0"/>
                                      <w:marRight w:val="0"/>
                                      <w:marTop w:val="0"/>
                                      <w:marBottom w:val="0"/>
                                      <w:divBdr>
                                        <w:top w:val="none" w:sz="0" w:space="0" w:color="auto"/>
                                        <w:left w:val="none" w:sz="0" w:space="0" w:color="auto"/>
                                        <w:bottom w:val="none" w:sz="0" w:space="0" w:color="auto"/>
                                        <w:right w:val="none" w:sz="0" w:space="0" w:color="auto"/>
                                      </w:divBdr>
                                      <w:divsChild>
                                        <w:div w:id="5740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048998">
      <w:marLeft w:val="0"/>
      <w:marRight w:val="0"/>
      <w:marTop w:val="0"/>
      <w:marBottom w:val="0"/>
      <w:divBdr>
        <w:top w:val="none" w:sz="0" w:space="0" w:color="auto"/>
        <w:left w:val="none" w:sz="0" w:space="0" w:color="auto"/>
        <w:bottom w:val="none" w:sz="0" w:space="0" w:color="auto"/>
        <w:right w:val="none" w:sz="0" w:space="0" w:color="auto"/>
      </w:divBdr>
      <w:divsChild>
        <w:div w:id="574049002">
          <w:marLeft w:val="0"/>
          <w:marRight w:val="0"/>
          <w:marTop w:val="0"/>
          <w:marBottom w:val="0"/>
          <w:divBdr>
            <w:top w:val="none" w:sz="0" w:space="0" w:color="auto"/>
            <w:left w:val="none" w:sz="0" w:space="0" w:color="auto"/>
            <w:bottom w:val="none" w:sz="0" w:space="0" w:color="auto"/>
            <w:right w:val="none" w:sz="0" w:space="0" w:color="auto"/>
          </w:divBdr>
          <w:divsChild>
            <w:div w:id="574048999">
              <w:marLeft w:val="2955"/>
              <w:marRight w:val="0"/>
              <w:marTop w:val="0"/>
              <w:marBottom w:val="0"/>
              <w:divBdr>
                <w:top w:val="none" w:sz="0" w:space="0" w:color="auto"/>
                <w:left w:val="none" w:sz="0" w:space="0" w:color="auto"/>
                <w:bottom w:val="none" w:sz="0" w:space="0" w:color="auto"/>
                <w:right w:val="none" w:sz="0" w:space="0" w:color="auto"/>
              </w:divBdr>
              <w:divsChild>
                <w:div w:id="574049006">
                  <w:marLeft w:val="0"/>
                  <w:marRight w:val="0"/>
                  <w:marTop w:val="0"/>
                  <w:marBottom w:val="0"/>
                  <w:divBdr>
                    <w:top w:val="none" w:sz="0" w:space="0" w:color="auto"/>
                    <w:left w:val="none" w:sz="0" w:space="0" w:color="auto"/>
                    <w:bottom w:val="none" w:sz="0" w:space="0" w:color="auto"/>
                    <w:right w:val="none" w:sz="0" w:space="0" w:color="auto"/>
                  </w:divBdr>
                  <w:divsChild>
                    <w:div w:id="574049003">
                      <w:marLeft w:val="0"/>
                      <w:marRight w:val="0"/>
                      <w:marTop w:val="0"/>
                      <w:marBottom w:val="0"/>
                      <w:divBdr>
                        <w:top w:val="none" w:sz="0" w:space="0" w:color="auto"/>
                        <w:left w:val="none" w:sz="0" w:space="0" w:color="auto"/>
                        <w:bottom w:val="none" w:sz="0" w:space="0" w:color="auto"/>
                        <w:right w:val="none" w:sz="0" w:space="0" w:color="auto"/>
                      </w:divBdr>
                      <w:divsChild>
                        <w:div w:id="574048997">
                          <w:marLeft w:val="0"/>
                          <w:marRight w:val="0"/>
                          <w:marTop w:val="0"/>
                          <w:marBottom w:val="0"/>
                          <w:divBdr>
                            <w:top w:val="none" w:sz="0" w:space="0" w:color="auto"/>
                            <w:left w:val="none" w:sz="0" w:space="0" w:color="auto"/>
                            <w:bottom w:val="none" w:sz="0" w:space="0" w:color="auto"/>
                            <w:right w:val="none" w:sz="0" w:space="0" w:color="auto"/>
                          </w:divBdr>
                          <w:divsChild>
                            <w:div w:id="574049007">
                              <w:marLeft w:val="0"/>
                              <w:marRight w:val="0"/>
                              <w:marTop w:val="0"/>
                              <w:marBottom w:val="0"/>
                              <w:divBdr>
                                <w:top w:val="single" w:sz="6" w:space="15" w:color="D3D3D3"/>
                                <w:left w:val="single" w:sz="6" w:space="13" w:color="D3D3D3"/>
                                <w:bottom w:val="single" w:sz="6" w:space="0" w:color="D3D3D3"/>
                                <w:right w:val="single" w:sz="6" w:space="14" w:color="D3D3D3"/>
                              </w:divBdr>
                              <w:divsChild>
                                <w:div w:id="574049001">
                                  <w:marLeft w:val="0"/>
                                  <w:marRight w:val="0"/>
                                  <w:marTop w:val="0"/>
                                  <w:marBottom w:val="0"/>
                                  <w:divBdr>
                                    <w:top w:val="none" w:sz="0" w:space="0" w:color="auto"/>
                                    <w:left w:val="none" w:sz="0" w:space="0" w:color="auto"/>
                                    <w:bottom w:val="none" w:sz="0" w:space="0" w:color="auto"/>
                                    <w:right w:val="none" w:sz="0" w:space="0" w:color="auto"/>
                                  </w:divBdr>
                                  <w:divsChild>
                                    <w:div w:id="574049000">
                                      <w:marLeft w:val="0"/>
                                      <w:marRight w:val="0"/>
                                      <w:marTop w:val="0"/>
                                      <w:marBottom w:val="0"/>
                                      <w:divBdr>
                                        <w:top w:val="none" w:sz="0" w:space="0" w:color="auto"/>
                                        <w:left w:val="none" w:sz="0" w:space="0" w:color="auto"/>
                                        <w:bottom w:val="none" w:sz="0" w:space="0" w:color="auto"/>
                                        <w:right w:val="none" w:sz="0" w:space="0" w:color="auto"/>
                                      </w:divBdr>
                                      <w:divsChild>
                                        <w:div w:id="5740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049005">
      <w:marLeft w:val="0"/>
      <w:marRight w:val="0"/>
      <w:marTop w:val="0"/>
      <w:marBottom w:val="0"/>
      <w:divBdr>
        <w:top w:val="none" w:sz="0" w:space="0" w:color="auto"/>
        <w:left w:val="none" w:sz="0" w:space="0" w:color="auto"/>
        <w:bottom w:val="none" w:sz="0" w:space="0" w:color="auto"/>
        <w:right w:val="none" w:sz="0" w:space="0" w:color="auto"/>
      </w:divBdr>
      <w:divsChild>
        <w:div w:id="574049004">
          <w:marLeft w:val="0"/>
          <w:marRight w:val="0"/>
          <w:marTop w:val="0"/>
          <w:marBottom w:val="0"/>
          <w:divBdr>
            <w:top w:val="none" w:sz="0" w:space="0" w:color="auto"/>
            <w:left w:val="none" w:sz="0" w:space="0" w:color="auto"/>
            <w:bottom w:val="none" w:sz="0" w:space="0" w:color="auto"/>
            <w:right w:val="none" w:sz="0" w:space="0" w:color="auto"/>
          </w:divBdr>
        </w:div>
      </w:divsChild>
    </w:div>
    <w:div w:id="574049013">
      <w:marLeft w:val="0"/>
      <w:marRight w:val="0"/>
      <w:marTop w:val="0"/>
      <w:marBottom w:val="0"/>
      <w:divBdr>
        <w:top w:val="none" w:sz="0" w:space="0" w:color="auto"/>
        <w:left w:val="none" w:sz="0" w:space="0" w:color="auto"/>
        <w:bottom w:val="none" w:sz="0" w:space="0" w:color="auto"/>
        <w:right w:val="none" w:sz="0" w:space="0" w:color="auto"/>
      </w:divBdr>
      <w:divsChild>
        <w:div w:id="574049021">
          <w:marLeft w:val="0"/>
          <w:marRight w:val="0"/>
          <w:marTop w:val="0"/>
          <w:marBottom w:val="0"/>
          <w:divBdr>
            <w:top w:val="none" w:sz="0" w:space="0" w:color="auto"/>
            <w:left w:val="none" w:sz="0" w:space="0" w:color="auto"/>
            <w:bottom w:val="none" w:sz="0" w:space="0" w:color="auto"/>
            <w:right w:val="none" w:sz="0" w:space="0" w:color="auto"/>
          </w:divBdr>
          <w:divsChild>
            <w:div w:id="574049016">
              <w:marLeft w:val="0"/>
              <w:marRight w:val="0"/>
              <w:marTop w:val="0"/>
              <w:marBottom w:val="0"/>
              <w:divBdr>
                <w:top w:val="none" w:sz="0" w:space="0" w:color="auto"/>
                <w:left w:val="none" w:sz="0" w:space="0" w:color="auto"/>
                <w:bottom w:val="none" w:sz="0" w:space="0" w:color="auto"/>
                <w:right w:val="none" w:sz="0" w:space="0" w:color="auto"/>
              </w:divBdr>
              <w:divsChild>
                <w:div w:id="574049024">
                  <w:marLeft w:val="0"/>
                  <w:marRight w:val="0"/>
                  <w:marTop w:val="0"/>
                  <w:marBottom w:val="0"/>
                  <w:divBdr>
                    <w:top w:val="none" w:sz="0" w:space="0" w:color="auto"/>
                    <w:left w:val="none" w:sz="0" w:space="0" w:color="auto"/>
                    <w:bottom w:val="none" w:sz="0" w:space="0" w:color="auto"/>
                    <w:right w:val="none" w:sz="0" w:space="0" w:color="auto"/>
                  </w:divBdr>
                  <w:divsChild>
                    <w:div w:id="574049015">
                      <w:marLeft w:val="0"/>
                      <w:marRight w:val="0"/>
                      <w:marTop w:val="0"/>
                      <w:marBottom w:val="0"/>
                      <w:divBdr>
                        <w:top w:val="none" w:sz="0" w:space="0" w:color="auto"/>
                        <w:left w:val="none" w:sz="0" w:space="0" w:color="auto"/>
                        <w:bottom w:val="none" w:sz="0" w:space="0" w:color="auto"/>
                        <w:right w:val="none" w:sz="0" w:space="0" w:color="auto"/>
                      </w:divBdr>
                      <w:divsChild>
                        <w:div w:id="574049019">
                          <w:marLeft w:val="0"/>
                          <w:marRight w:val="0"/>
                          <w:marTop w:val="0"/>
                          <w:marBottom w:val="0"/>
                          <w:divBdr>
                            <w:top w:val="none" w:sz="0" w:space="0" w:color="auto"/>
                            <w:left w:val="none" w:sz="0" w:space="0" w:color="auto"/>
                            <w:bottom w:val="none" w:sz="0" w:space="0" w:color="auto"/>
                            <w:right w:val="none" w:sz="0" w:space="0" w:color="auto"/>
                          </w:divBdr>
                          <w:divsChild>
                            <w:div w:id="574049014">
                              <w:marLeft w:val="0"/>
                              <w:marRight w:val="0"/>
                              <w:marTop w:val="0"/>
                              <w:marBottom w:val="0"/>
                              <w:divBdr>
                                <w:top w:val="none" w:sz="0" w:space="0" w:color="auto"/>
                                <w:left w:val="none" w:sz="0" w:space="0" w:color="auto"/>
                                <w:bottom w:val="none" w:sz="0" w:space="0" w:color="auto"/>
                                <w:right w:val="none" w:sz="0" w:space="0" w:color="auto"/>
                              </w:divBdr>
                              <w:divsChild>
                                <w:div w:id="574049022">
                                  <w:marLeft w:val="0"/>
                                  <w:marRight w:val="0"/>
                                  <w:marTop w:val="0"/>
                                  <w:marBottom w:val="0"/>
                                  <w:divBdr>
                                    <w:top w:val="none" w:sz="0" w:space="0" w:color="auto"/>
                                    <w:left w:val="none" w:sz="0" w:space="0" w:color="auto"/>
                                    <w:bottom w:val="none" w:sz="0" w:space="0" w:color="auto"/>
                                    <w:right w:val="none" w:sz="0" w:space="0" w:color="auto"/>
                                  </w:divBdr>
                                  <w:divsChild>
                                    <w:div w:id="574049010">
                                      <w:marLeft w:val="0"/>
                                      <w:marRight w:val="0"/>
                                      <w:marTop w:val="0"/>
                                      <w:marBottom w:val="0"/>
                                      <w:divBdr>
                                        <w:top w:val="none" w:sz="0" w:space="0" w:color="auto"/>
                                        <w:left w:val="none" w:sz="0" w:space="0" w:color="auto"/>
                                        <w:bottom w:val="none" w:sz="0" w:space="0" w:color="auto"/>
                                        <w:right w:val="none" w:sz="0" w:space="0" w:color="auto"/>
                                      </w:divBdr>
                                      <w:divsChild>
                                        <w:div w:id="5740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049025">
      <w:marLeft w:val="0"/>
      <w:marRight w:val="0"/>
      <w:marTop w:val="0"/>
      <w:marBottom w:val="0"/>
      <w:divBdr>
        <w:top w:val="none" w:sz="0" w:space="0" w:color="auto"/>
        <w:left w:val="none" w:sz="0" w:space="0" w:color="auto"/>
        <w:bottom w:val="none" w:sz="0" w:space="0" w:color="auto"/>
        <w:right w:val="none" w:sz="0" w:space="0" w:color="auto"/>
      </w:divBdr>
      <w:divsChild>
        <w:div w:id="574049017">
          <w:marLeft w:val="0"/>
          <w:marRight w:val="0"/>
          <w:marTop w:val="0"/>
          <w:marBottom w:val="0"/>
          <w:divBdr>
            <w:top w:val="none" w:sz="0" w:space="0" w:color="auto"/>
            <w:left w:val="none" w:sz="0" w:space="0" w:color="auto"/>
            <w:bottom w:val="none" w:sz="0" w:space="0" w:color="auto"/>
            <w:right w:val="none" w:sz="0" w:space="0" w:color="auto"/>
          </w:divBdr>
          <w:divsChild>
            <w:div w:id="574049020">
              <w:marLeft w:val="0"/>
              <w:marRight w:val="0"/>
              <w:marTop w:val="0"/>
              <w:marBottom w:val="0"/>
              <w:divBdr>
                <w:top w:val="none" w:sz="0" w:space="0" w:color="auto"/>
                <w:left w:val="none" w:sz="0" w:space="0" w:color="auto"/>
                <w:bottom w:val="none" w:sz="0" w:space="0" w:color="auto"/>
                <w:right w:val="none" w:sz="0" w:space="0" w:color="auto"/>
              </w:divBdr>
              <w:divsChild>
                <w:div w:id="574049011">
                  <w:marLeft w:val="0"/>
                  <w:marRight w:val="0"/>
                  <w:marTop w:val="0"/>
                  <w:marBottom w:val="0"/>
                  <w:divBdr>
                    <w:top w:val="none" w:sz="0" w:space="0" w:color="auto"/>
                    <w:left w:val="none" w:sz="0" w:space="0" w:color="auto"/>
                    <w:bottom w:val="none" w:sz="0" w:space="0" w:color="auto"/>
                    <w:right w:val="none" w:sz="0" w:space="0" w:color="auto"/>
                  </w:divBdr>
                  <w:divsChild>
                    <w:div w:id="574049023">
                      <w:marLeft w:val="0"/>
                      <w:marRight w:val="0"/>
                      <w:marTop w:val="0"/>
                      <w:marBottom w:val="0"/>
                      <w:divBdr>
                        <w:top w:val="none" w:sz="0" w:space="0" w:color="auto"/>
                        <w:left w:val="none" w:sz="0" w:space="0" w:color="auto"/>
                        <w:bottom w:val="none" w:sz="0" w:space="0" w:color="auto"/>
                        <w:right w:val="none" w:sz="0" w:space="0" w:color="auto"/>
                      </w:divBdr>
                      <w:divsChild>
                        <w:div w:id="574049018">
                          <w:marLeft w:val="0"/>
                          <w:marRight w:val="0"/>
                          <w:marTop w:val="0"/>
                          <w:marBottom w:val="0"/>
                          <w:divBdr>
                            <w:top w:val="none" w:sz="0" w:space="0" w:color="auto"/>
                            <w:left w:val="none" w:sz="0" w:space="0" w:color="auto"/>
                            <w:bottom w:val="none" w:sz="0" w:space="0" w:color="auto"/>
                            <w:right w:val="none" w:sz="0" w:space="0" w:color="auto"/>
                          </w:divBdr>
                          <w:divsChild>
                            <w:div w:id="5740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ischig@fnplzen.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2581</TotalTime>
  <Pages>36</Pages>
  <Words>12047</Words>
  <Characters>71078</Characters>
  <Application>Microsoft Office Word</Application>
  <DocSecurity>0</DocSecurity>
  <Lines>592</Lines>
  <Paragraphs>165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STUDIE K POSOUZENÍ PROFYLAXE CMV NEMOCI PO TRANSPLANTACI LEDVINY: P</vt:lpstr>
      <vt:lpstr>STUDIE K POSOUZENÍ PROFYLAXE CMV NEMOCI PO TRANSPLANTACI LEDVINY: P</vt:lpstr>
    </vt:vector>
  </TitlesOfParts>
  <Company>FN Plzeň</Company>
  <LinksUpToDate>false</LinksUpToDate>
  <CharactersWithSpaces>82960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 K POSOUZENÍ PROFYLAXE CMV NEMOCI PO TRANSPLANTACI LEDVINY: P</dc:title>
  <dc:subject/>
  <dc:creator>mika</dc:creator>
  <cp:keywords/>
  <dc:description/>
  <cp:lastModifiedBy>Reischig</cp:lastModifiedBy>
  <cp:revision>165</cp:revision>
  <cp:lastPrinted>2001-02-12T16:24:00Z</cp:lastPrinted>
  <dcterms:created xsi:type="dcterms:W3CDTF">2012-11-05T20:38:00Z</dcterms:created>
  <dcterms:modified xsi:type="dcterms:W3CDTF">2013-12-22T13:45:00Z</dcterms:modified>
</cp:coreProperties>
</file>