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280711" w14:textId="3367A570" w:rsidR="00A81743" w:rsidRPr="00880BDC" w:rsidRDefault="00F72755" w:rsidP="000A0B00">
      <w:pPr>
        <w:spacing w:line="360" w:lineRule="auto"/>
        <w:rPr>
          <w:rFonts w:ascii="Cambria" w:eastAsia="PMingLiU" w:hAnsi="Cambria" w:cstheme="minorHAnsi"/>
          <w:spacing w:val="30"/>
          <w:sz w:val="32"/>
          <w:lang w:val="en-US" w:eastAsia="zh-HK"/>
        </w:rPr>
      </w:pPr>
      <w:r>
        <w:rPr>
          <w:rFonts w:ascii="Cambria" w:eastAsia="PMingLiU" w:hAnsi="Cambria" w:cstheme="minorHAnsi"/>
          <w:spacing w:val="30"/>
          <w:sz w:val="32"/>
          <w:lang w:val="en-US" w:eastAsia="zh-HK"/>
        </w:rPr>
        <w:t xml:space="preserve">Effects of </w:t>
      </w:r>
      <w:r w:rsidR="00D60849">
        <w:rPr>
          <w:rFonts w:ascii="Cambria" w:eastAsia="PMingLiU" w:hAnsi="Cambria" w:cstheme="minorHAnsi"/>
          <w:spacing w:val="30"/>
          <w:sz w:val="32"/>
          <w:lang w:val="en-US" w:eastAsia="zh-HK"/>
        </w:rPr>
        <w:t xml:space="preserve">Immersive </w:t>
      </w:r>
      <w:r w:rsidR="00A81743" w:rsidRPr="00880BDC">
        <w:rPr>
          <w:rFonts w:ascii="Cambria" w:eastAsia="PMingLiU" w:hAnsi="Cambria" w:cstheme="minorHAnsi"/>
          <w:spacing w:val="30"/>
          <w:sz w:val="32"/>
          <w:lang w:val="en-US" w:eastAsia="zh-HK"/>
        </w:rPr>
        <w:t xml:space="preserve">Virtual Reality </w:t>
      </w:r>
      <w:r w:rsidR="00D60849">
        <w:rPr>
          <w:rFonts w:ascii="Cambria" w:eastAsia="PMingLiU" w:hAnsi="Cambria" w:cstheme="minorHAnsi"/>
          <w:spacing w:val="30"/>
          <w:sz w:val="32"/>
          <w:lang w:val="en-US" w:eastAsia="zh-HK"/>
        </w:rPr>
        <w:t xml:space="preserve">Therapy </w:t>
      </w:r>
      <w:r>
        <w:rPr>
          <w:rFonts w:ascii="Cambria" w:eastAsia="PMingLiU" w:hAnsi="Cambria" w:cstheme="minorHAnsi"/>
          <w:spacing w:val="30"/>
          <w:sz w:val="32"/>
          <w:lang w:val="en-US" w:eastAsia="zh-HK"/>
        </w:rPr>
        <w:t xml:space="preserve">on Intravenous </w:t>
      </w:r>
      <w:r w:rsidR="00A81743" w:rsidRPr="00880BDC">
        <w:rPr>
          <w:rFonts w:ascii="Cambria" w:eastAsia="PMingLiU" w:hAnsi="Cambria" w:cstheme="minorHAnsi"/>
          <w:spacing w:val="30"/>
          <w:sz w:val="32"/>
          <w:lang w:val="en-US" w:eastAsia="zh-HK"/>
        </w:rPr>
        <w:t xml:space="preserve">Patient Controlled Sedation </w:t>
      </w:r>
      <w:proofErr w:type="gramStart"/>
      <w:r w:rsidR="00A81743" w:rsidRPr="00880BDC">
        <w:rPr>
          <w:rFonts w:ascii="Cambria" w:eastAsia="PMingLiU" w:hAnsi="Cambria" w:cstheme="minorHAnsi"/>
          <w:spacing w:val="30"/>
          <w:sz w:val="32"/>
          <w:lang w:val="en-US" w:eastAsia="zh-HK"/>
        </w:rPr>
        <w:t>During</w:t>
      </w:r>
      <w:proofErr w:type="gramEnd"/>
      <w:r w:rsidR="00A81743" w:rsidRPr="00880BDC">
        <w:rPr>
          <w:rFonts w:ascii="Cambria" w:eastAsia="PMingLiU" w:hAnsi="Cambria" w:cstheme="minorHAnsi"/>
          <w:spacing w:val="30"/>
          <w:sz w:val="32"/>
          <w:lang w:val="en-US" w:eastAsia="zh-HK"/>
        </w:rPr>
        <w:t xml:space="preserve"> Orthopedic Surgery Under Regional Anesthesia</w:t>
      </w:r>
    </w:p>
    <w:p w14:paraId="6AE5988A" w14:textId="77777777" w:rsidR="00A81743" w:rsidRPr="004C1EBC" w:rsidRDefault="00A81743" w:rsidP="00F23E7B">
      <w:pPr>
        <w:pStyle w:val="NormalWeb"/>
        <w:spacing w:line="360" w:lineRule="auto"/>
        <w:rPr>
          <w:rFonts w:ascii="Verdana" w:hAnsi="Verdana"/>
          <w:b/>
          <w:color w:val="000000"/>
          <w:sz w:val="18"/>
          <w:szCs w:val="18"/>
          <w:shd w:val="clear" w:color="auto" w:fill="FFFFFF"/>
        </w:rPr>
      </w:pPr>
      <w:r w:rsidRPr="004C1EBC">
        <w:rPr>
          <w:rFonts w:ascii="Verdana" w:hAnsi="Verdana"/>
          <w:b/>
          <w:color w:val="000000"/>
          <w:sz w:val="18"/>
          <w:szCs w:val="18"/>
          <w:shd w:val="clear" w:color="auto" w:fill="FFFFFF"/>
        </w:rPr>
        <w:t xml:space="preserve">Authors: </w:t>
      </w:r>
    </w:p>
    <w:p w14:paraId="6DA3FE80" w14:textId="1DA47B57" w:rsidR="00A81743" w:rsidRPr="004C1EBC" w:rsidRDefault="006E6A14" w:rsidP="00F23E7B">
      <w:pPr>
        <w:pStyle w:val="NormalWeb"/>
        <w:numPr>
          <w:ilvl w:val="0"/>
          <w:numId w:val="20"/>
        </w:numPr>
        <w:spacing w:line="360" w:lineRule="auto"/>
        <w:rPr>
          <w:rFonts w:ascii="Verdana" w:hAnsi="Verdana"/>
          <w:color w:val="000000"/>
          <w:sz w:val="18"/>
          <w:szCs w:val="18"/>
          <w:shd w:val="clear" w:color="auto" w:fill="FFFFFF"/>
        </w:rPr>
      </w:pPr>
      <w:r>
        <w:rPr>
          <w:rFonts w:ascii="Verdana" w:hAnsi="Verdana"/>
          <w:color w:val="000000"/>
          <w:sz w:val="18"/>
          <w:szCs w:val="18"/>
          <w:shd w:val="clear" w:color="auto" w:fill="FFFFFF"/>
        </w:rPr>
        <w:t>Mark Huang, MD</w:t>
      </w:r>
      <w:r w:rsidR="00A81743" w:rsidRPr="004C1EBC">
        <w:rPr>
          <w:rFonts w:ascii="Verdana" w:hAnsi="Verdana"/>
          <w:color w:val="000000"/>
          <w:sz w:val="18"/>
          <w:szCs w:val="18"/>
          <w:shd w:val="clear" w:color="auto" w:fill="FFFFFF"/>
        </w:rPr>
        <w:t>, Department of Anesthesia and Acute Pain Medicine, St. Vincent’s Hospital Melbourne.</w:t>
      </w:r>
    </w:p>
    <w:p w14:paraId="3F746457" w14:textId="3ECD18CC" w:rsidR="00A81743" w:rsidRPr="004C1EBC" w:rsidRDefault="004E7EBA" w:rsidP="00F23E7B">
      <w:pPr>
        <w:pStyle w:val="NormalWeb"/>
        <w:numPr>
          <w:ilvl w:val="1"/>
          <w:numId w:val="20"/>
        </w:numPr>
        <w:spacing w:line="360" w:lineRule="auto"/>
        <w:rPr>
          <w:rFonts w:ascii="Verdana" w:hAnsi="Verdana"/>
          <w:color w:val="000000"/>
          <w:sz w:val="18"/>
          <w:szCs w:val="18"/>
          <w:shd w:val="clear" w:color="auto" w:fill="FFFFFF"/>
        </w:rPr>
      </w:pPr>
      <w:r>
        <w:rPr>
          <w:rFonts w:ascii="Verdana" w:hAnsi="Verdana"/>
          <w:color w:val="000000"/>
          <w:sz w:val="18"/>
          <w:szCs w:val="18"/>
          <w:shd w:val="clear" w:color="auto" w:fill="FFFFFF"/>
        </w:rPr>
        <w:t>This author is the p</w:t>
      </w:r>
      <w:r w:rsidR="00A81743" w:rsidRPr="004C1EBC">
        <w:rPr>
          <w:rFonts w:ascii="Verdana" w:hAnsi="Verdana"/>
          <w:color w:val="000000"/>
          <w:sz w:val="18"/>
          <w:szCs w:val="18"/>
          <w:shd w:val="clear" w:color="auto" w:fill="FFFFFF"/>
        </w:rPr>
        <w:t xml:space="preserve">rimary author, </w:t>
      </w:r>
      <w:r>
        <w:rPr>
          <w:rFonts w:ascii="Verdana" w:hAnsi="Verdana"/>
          <w:color w:val="000000"/>
          <w:sz w:val="18"/>
          <w:szCs w:val="18"/>
          <w:shd w:val="clear" w:color="auto" w:fill="FFFFFF"/>
        </w:rPr>
        <w:t xml:space="preserve">did all </w:t>
      </w:r>
      <w:r w:rsidR="00A81743" w:rsidRPr="004C1EBC">
        <w:rPr>
          <w:rFonts w:ascii="Verdana" w:hAnsi="Verdana"/>
          <w:color w:val="000000"/>
          <w:sz w:val="18"/>
          <w:szCs w:val="18"/>
          <w:shd w:val="clear" w:color="auto" w:fill="FFFFFF"/>
        </w:rPr>
        <w:t>data collection and analysis</w:t>
      </w:r>
      <w:r>
        <w:rPr>
          <w:rFonts w:ascii="Verdana" w:hAnsi="Verdana"/>
          <w:color w:val="000000"/>
          <w:sz w:val="18"/>
          <w:szCs w:val="18"/>
          <w:shd w:val="clear" w:color="auto" w:fill="FFFFFF"/>
        </w:rPr>
        <w:t>, and wrote the first draft of the paper</w:t>
      </w:r>
    </w:p>
    <w:p w14:paraId="0519C718" w14:textId="318122D9" w:rsidR="00A81743" w:rsidRPr="004C1EBC" w:rsidRDefault="00A81743" w:rsidP="00F23E7B">
      <w:pPr>
        <w:pStyle w:val="NormalWeb"/>
        <w:numPr>
          <w:ilvl w:val="0"/>
          <w:numId w:val="20"/>
        </w:numPr>
        <w:spacing w:line="360" w:lineRule="auto"/>
        <w:rPr>
          <w:rFonts w:ascii="Verdana" w:hAnsi="Verdana"/>
          <w:color w:val="000000"/>
          <w:sz w:val="18"/>
          <w:szCs w:val="18"/>
          <w:shd w:val="clear" w:color="auto" w:fill="FFFFFF"/>
        </w:rPr>
      </w:pPr>
      <w:r w:rsidRPr="004C1EBC">
        <w:rPr>
          <w:rFonts w:ascii="Verdana" w:hAnsi="Verdana"/>
          <w:color w:val="000000"/>
          <w:sz w:val="18"/>
          <w:szCs w:val="18"/>
          <w:shd w:val="clear" w:color="auto" w:fill="FFFFFF"/>
        </w:rPr>
        <w:t xml:space="preserve">Peter Y Chan, BSc, MBBS, FCICM. Department of Intensive Care Medicine, </w:t>
      </w:r>
      <w:r w:rsidR="0033020A">
        <w:rPr>
          <w:rFonts w:ascii="Verdana" w:hAnsi="Verdana"/>
          <w:color w:val="000000"/>
          <w:sz w:val="18"/>
          <w:szCs w:val="18"/>
          <w:shd w:val="clear" w:color="auto" w:fill="FFFFFF"/>
        </w:rPr>
        <w:t>Eastern Health, Melbourne</w:t>
      </w:r>
    </w:p>
    <w:p w14:paraId="48F798D8" w14:textId="5D6BA7B9" w:rsidR="00A81743" w:rsidRPr="004C1EBC" w:rsidRDefault="004E7EBA" w:rsidP="00F23E7B">
      <w:pPr>
        <w:pStyle w:val="NormalWeb"/>
        <w:numPr>
          <w:ilvl w:val="1"/>
          <w:numId w:val="20"/>
        </w:numPr>
        <w:spacing w:line="360" w:lineRule="auto"/>
        <w:rPr>
          <w:rFonts w:ascii="Verdana" w:hAnsi="Verdana"/>
          <w:color w:val="000000"/>
          <w:sz w:val="18"/>
          <w:szCs w:val="18"/>
          <w:shd w:val="clear" w:color="auto" w:fill="FFFFFF"/>
        </w:rPr>
      </w:pPr>
      <w:r>
        <w:rPr>
          <w:rFonts w:ascii="Verdana" w:hAnsi="Verdana"/>
          <w:color w:val="000000"/>
          <w:sz w:val="18"/>
          <w:szCs w:val="18"/>
          <w:shd w:val="clear" w:color="auto" w:fill="FFFFFF"/>
        </w:rPr>
        <w:t>This author is the f</w:t>
      </w:r>
      <w:r w:rsidR="00A81743" w:rsidRPr="004C1EBC">
        <w:rPr>
          <w:rFonts w:ascii="Verdana" w:hAnsi="Verdana"/>
          <w:color w:val="000000"/>
          <w:sz w:val="18"/>
          <w:szCs w:val="18"/>
          <w:shd w:val="clear" w:color="auto" w:fill="FFFFFF"/>
        </w:rPr>
        <w:t>inal author, supervisor of project,</w:t>
      </w:r>
      <w:r>
        <w:rPr>
          <w:rFonts w:ascii="Verdana" w:hAnsi="Verdana"/>
          <w:color w:val="000000"/>
          <w:sz w:val="18"/>
          <w:szCs w:val="18"/>
          <w:shd w:val="clear" w:color="auto" w:fill="FFFFFF"/>
        </w:rPr>
        <w:t xml:space="preserve"> responsible for</w:t>
      </w:r>
      <w:r w:rsidR="00A81743" w:rsidRPr="004C1EBC">
        <w:rPr>
          <w:rFonts w:ascii="Verdana" w:hAnsi="Verdana"/>
          <w:color w:val="000000"/>
          <w:sz w:val="18"/>
          <w:szCs w:val="18"/>
          <w:shd w:val="clear" w:color="auto" w:fill="FFFFFF"/>
        </w:rPr>
        <w:t xml:space="preserve"> experimental design and data analysis</w:t>
      </w:r>
      <w:r>
        <w:rPr>
          <w:rFonts w:ascii="Verdana" w:hAnsi="Verdana"/>
          <w:color w:val="000000"/>
          <w:sz w:val="18"/>
          <w:szCs w:val="18"/>
          <w:shd w:val="clear" w:color="auto" w:fill="FFFFFF"/>
        </w:rPr>
        <w:t>, and re-wrote the manuscript</w:t>
      </w:r>
    </w:p>
    <w:p w14:paraId="5DAF67FD" w14:textId="77777777" w:rsidR="00A81743" w:rsidRPr="004C1EBC" w:rsidRDefault="00A81743" w:rsidP="00F23E7B">
      <w:pPr>
        <w:pStyle w:val="NormalWeb"/>
        <w:numPr>
          <w:ilvl w:val="0"/>
          <w:numId w:val="20"/>
        </w:numPr>
        <w:spacing w:line="360" w:lineRule="auto"/>
        <w:rPr>
          <w:rFonts w:ascii="Verdana" w:hAnsi="Verdana"/>
          <w:color w:val="000000"/>
          <w:sz w:val="18"/>
          <w:szCs w:val="18"/>
          <w:shd w:val="clear" w:color="auto" w:fill="FFFFFF"/>
        </w:rPr>
      </w:pPr>
      <w:r w:rsidRPr="004C1EBC">
        <w:rPr>
          <w:rFonts w:ascii="Verdana" w:hAnsi="Verdana"/>
          <w:color w:val="000000"/>
          <w:sz w:val="18"/>
          <w:szCs w:val="18"/>
          <w:shd w:val="clear" w:color="auto" w:fill="FFFFFF"/>
        </w:rPr>
        <w:t>Simon Scharf, MBBS, FANZCA. Department of Anesthesia and Acute Pain Medicine, St. Vincent’s Hospital Melbourne.</w:t>
      </w:r>
    </w:p>
    <w:p w14:paraId="2D3546BA" w14:textId="69489D5F" w:rsidR="00A81743" w:rsidRPr="004C1EBC" w:rsidRDefault="004E7EBA" w:rsidP="00F23E7B">
      <w:pPr>
        <w:pStyle w:val="NormalWeb"/>
        <w:numPr>
          <w:ilvl w:val="1"/>
          <w:numId w:val="20"/>
        </w:numPr>
        <w:spacing w:line="360" w:lineRule="auto"/>
        <w:rPr>
          <w:rFonts w:ascii="Verdana" w:hAnsi="Verdana"/>
          <w:color w:val="000000"/>
          <w:sz w:val="18"/>
          <w:szCs w:val="18"/>
          <w:shd w:val="clear" w:color="auto" w:fill="FFFFFF"/>
        </w:rPr>
      </w:pPr>
      <w:r>
        <w:rPr>
          <w:rFonts w:ascii="Verdana" w:hAnsi="Verdana"/>
          <w:color w:val="000000"/>
          <w:sz w:val="18"/>
          <w:szCs w:val="18"/>
          <w:shd w:val="clear" w:color="auto" w:fill="FFFFFF"/>
        </w:rPr>
        <w:t>This author is the s</w:t>
      </w:r>
      <w:r w:rsidR="00950A1E">
        <w:rPr>
          <w:rFonts w:ascii="Verdana" w:hAnsi="Verdana"/>
          <w:color w:val="000000"/>
          <w:sz w:val="18"/>
          <w:szCs w:val="18"/>
          <w:shd w:val="clear" w:color="auto" w:fill="FFFFFF"/>
        </w:rPr>
        <w:t>upervising an</w:t>
      </w:r>
      <w:r w:rsidR="00A81743" w:rsidRPr="004C1EBC">
        <w:rPr>
          <w:rFonts w:ascii="Verdana" w:hAnsi="Verdana"/>
          <w:color w:val="000000"/>
          <w:sz w:val="18"/>
          <w:szCs w:val="18"/>
          <w:shd w:val="clear" w:color="auto" w:fill="FFFFFF"/>
        </w:rPr>
        <w:t>esthe</w:t>
      </w:r>
      <w:r w:rsidR="00950A1E">
        <w:rPr>
          <w:rFonts w:ascii="Verdana" w:hAnsi="Verdana"/>
          <w:color w:val="000000"/>
          <w:sz w:val="18"/>
          <w:szCs w:val="18"/>
          <w:shd w:val="clear" w:color="auto" w:fill="FFFFFF"/>
        </w:rPr>
        <w:t>siologist</w:t>
      </w:r>
      <w:r w:rsidR="00A81743" w:rsidRPr="004C1EBC">
        <w:rPr>
          <w:rFonts w:ascii="Verdana" w:hAnsi="Verdana"/>
          <w:color w:val="000000"/>
          <w:sz w:val="18"/>
          <w:szCs w:val="18"/>
          <w:shd w:val="clear" w:color="auto" w:fill="FFFFFF"/>
        </w:rPr>
        <w:t>,</w:t>
      </w:r>
      <w:r>
        <w:rPr>
          <w:rFonts w:ascii="Verdana" w:hAnsi="Verdana"/>
          <w:color w:val="000000"/>
          <w:sz w:val="18"/>
          <w:szCs w:val="18"/>
          <w:shd w:val="clear" w:color="auto" w:fill="FFFFFF"/>
        </w:rPr>
        <w:t xml:space="preserve"> responsible for</w:t>
      </w:r>
      <w:r w:rsidR="00A81743" w:rsidRPr="004C1EBC">
        <w:rPr>
          <w:rFonts w:ascii="Verdana" w:hAnsi="Verdana"/>
          <w:color w:val="000000"/>
          <w:sz w:val="18"/>
          <w:szCs w:val="18"/>
          <w:shd w:val="clear" w:color="auto" w:fill="FFFFFF"/>
        </w:rPr>
        <w:t xml:space="preserve"> manuscript editing and finishing,</w:t>
      </w:r>
      <w:r>
        <w:rPr>
          <w:rFonts w:ascii="Verdana" w:hAnsi="Verdana"/>
          <w:color w:val="000000"/>
          <w:sz w:val="18"/>
          <w:szCs w:val="18"/>
          <w:shd w:val="clear" w:color="auto" w:fill="FFFFFF"/>
        </w:rPr>
        <w:t xml:space="preserve"> and protocol design.</w:t>
      </w:r>
    </w:p>
    <w:p w14:paraId="6FE72409" w14:textId="77777777" w:rsidR="00A81743" w:rsidRPr="004C1EBC" w:rsidRDefault="00A81743" w:rsidP="00F23E7B">
      <w:pPr>
        <w:pStyle w:val="NormalWeb"/>
        <w:spacing w:line="360" w:lineRule="auto"/>
        <w:rPr>
          <w:rFonts w:ascii="Verdana" w:hAnsi="Verdana"/>
          <w:b/>
          <w:color w:val="000000"/>
          <w:sz w:val="18"/>
          <w:szCs w:val="18"/>
          <w:shd w:val="clear" w:color="auto" w:fill="FFFFFF"/>
        </w:rPr>
      </w:pPr>
      <w:r w:rsidRPr="004C1EBC">
        <w:rPr>
          <w:rFonts w:ascii="Verdana" w:hAnsi="Verdana"/>
          <w:b/>
          <w:color w:val="000000"/>
          <w:sz w:val="18"/>
          <w:szCs w:val="18"/>
          <w:shd w:val="clear" w:color="auto" w:fill="FFFFFF"/>
        </w:rPr>
        <w:t>Corresponding Author:</w:t>
      </w:r>
    </w:p>
    <w:p w14:paraId="115E5EA4" w14:textId="7878FA96" w:rsidR="00A81743" w:rsidRPr="004C1EBC" w:rsidRDefault="006E6A14" w:rsidP="00F23E7B">
      <w:pPr>
        <w:pStyle w:val="NoSpacing"/>
        <w:spacing w:line="360" w:lineRule="auto"/>
        <w:rPr>
          <w:shd w:val="clear" w:color="auto" w:fill="FFFFFF"/>
        </w:rPr>
      </w:pPr>
      <w:proofErr w:type="spellStart"/>
      <w:r>
        <w:rPr>
          <w:shd w:val="clear" w:color="auto" w:fill="FFFFFF"/>
        </w:rPr>
        <w:t>Dr.</w:t>
      </w:r>
      <w:proofErr w:type="spellEnd"/>
      <w:r>
        <w:rPr>
          <w:shd w:val="clear" w:color="auto" w:fill="FFFFFF"/>
        </w:rPr>
        <w:t xml:space="preserve"> Peter Chan BS</w:t>
      </w:r>
      <w:r w:rsidR="00A81743" w:rsidRPr="004C1EBC">
        <w:rPr>
          <w:shd w:val="clear" w:color="auto" w:fill="FFFFFF"/>
        </w:rPr>
        <w:t>c MBBS FCICM</w:t>
      </w:r>
    </w:p>
    <w:p w14:paraId="6C61664F" w14:textId="77777777" w:rsidR="00A81743" w:rsidRPr="004C1EBC" w:rsidRDefault="00A81743" w:rsidP="00F23E7B">
      <w:pPr>
        <w:pStyle w:val="NoSpacing"/>
        <w:spacing w:line="360" w:lineRule="auto"/>
        <w:rPr>
          <w:shd w:val="clear" w:color="auto" w:fill="FFFFFF"/>
        </w:rPr>
      </w:pPr>
      <w:r w:rsidRPr="004C1EBC">
        <w:rPr>
          <w:shd w:val="clear" w:color="auto" w:fill="FFFFFF"/>
        </w:rPr>
        <w:t xml:space="preserve">Department of Intensive Care Medicine </w:t>
      </w:r>
    </w:p>
    <w:p w14:paraId="3A8748B5" w14:textId="25E0DC46" w:rsidR="00A81743" w:rsidRPr="004C1EBC" w:rsidRDefault="00A81743" w:rsidP="00F23E7B">
      <w:pPr>
        <w:pStyle w:val="NoSpacing"/>
        <w:spacing w:line="360" w:lineRule="auto"/>
        <w:rPr>
          <w:shd w:val="clear" w:color="auto" w:fill="FFFFFF"/>
        </w:rPr>
      </w:pPr>
      <w:r w:rsidRPr="004C1EBC">
        <w:rPr>
          <w:shd w:val="clear" w:color="auto" w:fill="FFFFFF"/>
        </w:rPr>
        <w:t>Box Hill Hospital</w:t>
      </w:r>
    </w:p>
    <w:p w14:paraId="3E6F25AC" w14:textId="490512D2" w:rsidR="00A81743" w:rsidRPr="004C1EBC" w:rsidRDefault="00A81743" w:rsidP="00F23E7B">
      <w:pPr>
        <w:pStyle w:val="NoSpacing"/>
        <w:spacing w:line="360" w:lineRule="auto"/>
        <w:rPr>
          <w:shd w:val="clear" w:color="auto" w:fill="FFFFFF"/>
        </w:rPr>
      </w:pPr>
      <w:r w:rsidRPr="004C1EBC">
        <w:rPr>
          <w:shd w:val="clear" w:color="auto" w:fill="FFFFFF"/>
        </w:rPr>
        <w:t>8 Arnold Street</w:t>
      </w:r>
    </w:p>
    <w:p w14:paraId="72FD1AB2" w14:textId="76306B57" w:rsidR="00A81743" w:rsidRPr="004C1EBC" w:rsidRDefault="00A81743" w:rsidP="00F23E7B">
      <w:pPr>
        <w:pStyle w:val="NoSpacing"/>
        <w:spacing w:line="360" w:lineRule="auto"/>
        <w:rPr>
          <w:shd w:val="clear" w:color="auto" w:fill="FFFFFF"/>
        </w:rPr>
      </w:pPr>
      <w:r w:rsidRPr="004C1EBC">
        <w:rPr>
          <w:shd w:val="clear" w:color="auto" w:fill="FFFFFF"/>
        </w:rPr>
        <w:t xml:space="preserve">Box Hill VIC </w:t>
      </w:r>
    </w:p>
    <w:p w14:paraId="72F621C9" w14:textId="0E91AE7D" w:rsidR="00A81743" w:rsidRPr="004C1EBC" w:rsidRDefault="00A81743" w:rsidP="00F23E7B">
      <w:pPr>
        <w:pStyle w:val="NoSpacing"/>
        <w:spacing w:line="360" w:lineRule="auto"/>
        <w:rPr>
          <w:shd w:val="clear" w:color="auto" w:fill="FFFFFF"/>
        </w:rPr>
      </w:pPr>
      <w:r w:rsidRPr="004C1EBC">
        <w:rPr>
          <w:shd w:val="clear" w:color="auto" w:fill="FFFFFF"/>
        </w:rPr>
        <w:t>Australia 3128</w:t>
      </w:r>
    </w:p>
    <w:p w14:paraId="677B1746" w14:textId="77777777" w:rsidR="00A81743" w:rsidRPr="004C1EBC" w:rsidRDefault="00A81743" w:rsidP="00F23E7B">
      <w:pPr>
        <w:pStyle w:val="NoSpacing"/>
        <w:spacing w:line="360" w:lineRule="auto"/>
        <w:rPr>
          <w:shd w:val="clear" w:color="auto" w:fill="FFFFFF"/>
        </w:rPr>
      </w:pPr>
    </w:p>
    <w:p w14:paraId="7838D0FC" w14:textId="52A3BE3A" w:rsidR="00A81743" w:rsidRPr="004C1EBC" w:rsidRDefault="00A81743" w:rsidP="00F23E7B">
      <w:pPr>
        <w:pStyle w:val="NoSpacing"/>
        <w:spacing w:line="360" w:lineRule="auto"/>
        <w:rPr>
          <w:shd w:val="clear" w:color="auto" w:fill="FFFFFF"/>
        </w:rPr>
      </w:pPr>
      <w:r w:rsidRPr="004C1EBC">
        <w:rPr>
          <w:shd w:val="clear" w:color="auto" w:fill="FFFFFF"/>
        </w:rPr>
        <w:t>Phone: +61 3 83968227</w:t>
      </w:r>
    </w:p>
    <w:p w14:paraId="36B65DB7" w14:textId="6E1EDD25" w:rsidR="00A81743" w:rsidRPr="004C1EBC" w:rsidRDefault="00A81743" w:rsidP="00F23E7B">
      <w:pPr>
        <w:pStyle w:val="NoSpacing"/>
        <w:spacing w:line="360" w:lineRule="auto"/>
        <w:rPr>
          <w:shd w:val="clear" w:color="auto" w:fill="FFFFFF"/>
        </w:rPr>
      </w:pPr>
      <w:r w:rsidRPr="004C1EBC">
        <w:rPr>
          <w:shd w:val="clear" w:color="auto" w:fill="FFFFFF"/>
        </w:rPr>
        <w:t>Email: peter.chan@easternhealth.org.au</w:t>
      </w:r>
    </w:p>
    <w:p w14:paraId="0D360D3A" w14:textId="77777777" w:rsidR="00A81743" w:rsidRPr="004C1EBC" w:rsidRDefault="00A81743" w:rsidP="00F23E7B">
      <w:pPr>
        <w:pStyle w:val="NormalWeb"/>
        <w:spacing w:line="360" w:lineRule="auto"/>
        <w:rPr>
          <w:rFonts w:ascii="Verdana" w:hAnsi="Verdana"/>
          <w:color w:val="000000"/>
          <w:sz w:val="18"/>
          <w:szCs w:val="18"/>
          <w:shd w:val="clear" w:color="auto" w:fill="FFFFFF"/>
        </w:rPr>
      </w:pPr>
      <w:r w:rsidRPr="004C1EBC">
        <w:rPr>
          <w:rFonts w:ascii="Verdana" w:hAnsi="Verdana"/>
          <w:b/>
          <w:color w:val="000000"/>
          <w:sz w:val="18"/>
          <w:szCs w:val="18"/>
          <w:shd w:val="clear" w:color="auto" w:fill="FFFFFF"/>
        </w:rPr>
        <w:t>Financial Disclosures</w:t>
      </w:r>
      <w:r w:rsidRPr="004C1EBC">
        <w:rPr>
          <w:rFonts w:ascii="Verdana" w:hAnsi="Verdana"/>
          <w:color w:val="000000"/>
          <w:sz w:val="18"/>
          <w:szCs w:val="18"/>
          <w:shd w:val="clear" w:color="auto" w:fill="FFFFFF"/>
        </w:rPr>
        <w:t>: Funded by St. Vincent’s Hospital Research Endowment Fund</w:t>
      </w:r>
    </w:p>
    <w:p w14:paraId="6DA61214" w14:textId="77777777" w:rsidR="00A81743" w:rsidRPr="004C1EBC" w:rsidRDefault="00A81743" w:rsidP="00F23E7B">
      <w:pPr>
        <w:pStyle w:val="NormalWeb"/>
        <w:spacing w:line="360" w:lineRule="auto"/>
        <w:rPr>
          <w:rFonts w:ascii="Verdana" w:hAnsi="Verdana"/>
          <w:color w:val="000000"/>
          <w:sz w:val="18"/>
          <w:szCs w:val="18"/>
          <w:shd w:val="clear" w:color="auto" w:fill="FFFFFF"/>
        </w:rPr>
      </w:pPr>
      <w:r w:rsidRPr="004C1EBC">
        <w:rPr>
          <w:rFonts w:ascii="Verdana" w:hAnsi="Verdana"/>
          <w:b/>
          <w:color w:val="000000"/>
          <w:sz w:val="18"/>
          <w:szCs w:val="18"/>
          <w:shd w:val="clear" w:color="auto" w:fill="FFFFFF"/>
        </w:rPr>
        <w:t>Conflicts of Interest:</w:t>
      </w:r>
      <w:r w:rsidRPr="004C1EBC">
        <w:rPr>
          <w:rFonts w:ascii="Verdana" w:hAnsi="Verdana"/>
          <w:color w:val="000000"/>
          <w:sz w:val="18"/>
          <w:szCs w:val="18"/>
          <w:shd w:val="clear" w:color="auto" w:fill="FFFFFF"/>
        </w:rPr>
        <w:t xml:space="preserve"> None</w:t>
      </w:r>
    </w:p>
    <w:p w14:paraId="17108952" w14:textId="17699803" w:rsidR="00A81743" w:rsidRPr="00AC405C" w:rsidRDefault="00A81743" w:rsidP="00F23E7B">
      <w:pPr>
        <w:pStyle w:val="NormalWeb"/>
        <w:spacing w:line="360" w:lineRule="auto"/>
        <w:rPr>
          <w:rFonts w:ascii="Verdana" w:hAnsi="Verdana"/>
          <w:color w:val="000000"/>
          <w:sz w:val="18"/>
          <w:szCs w:val="18"/>
          <w:shd w:val="clear" w:color="auto" w:fill="FFFFFF"/>
        </w:rPr>
      </w:pPr>
      <w:r w:rsidRPr="004C1EBC">
        <w:rPr>
          <w:rFonts w:ascii="Verdana" w:hAnsi="Verdana"/>
          <w:b/>
          <w:color w:val="000000"/>
          <w:sz w:val="18"/>
          <w:szCs w:val="18"/>
          <w:shd w:val="clear" w:color="auto" w:fill="FFFFFF"/>
        </w:rPr>
        <w:t>Word Count</w:t>
      </w:r>
      <w:r w:rsidRPr="004C1EBC">
        <w:rPr>
          <w:rFonts w:ascii="Verdana" w:hAnsi="Verdana"/>
          <w:color w:val="000000"/>
          <w:sz w:val="18"/>
          <w:szCs w:val="18"/>
          <w:shd w:val="clear" w:color="auto" w:fill="FFFFFF"/>
        </w:rPr>
        <w:t xml:space="preserve">: Abstract: </w:t>
      </w:r>
      <w:r w:rsidR="00BA6B75">
        <w:rPr>
          <w:rFonts w:ascii="Verdana" w:hAnsi="Verdana"/>
          <w:color w:val="000000"/>
          <w:sz w:val="18"/>
          <w:szCs w:val="18"/>
          <w:shd w:val="clear" w:color="auto" w:fill="FFFFFF"/>
        </w:rPr>
        <w:t>22</w:t>
      </w:r>
      <w:r w:rsidR="00EA14AC">
        <w:rPr>
          <w:rFonts w:ascii="Verdana" w:hAnsi="Verdana"/>
          <w:color w:val="000000"/>
          <w:sz w:val="18"/>
          <w:szCs w:val="18"/>
          <w:shd w:val="clear" w:color="auto" w:fill="FFFFFF"/>
        </w:rPr>
        <w:t>2</w:t>
      </w:r>
      <w:r w:rsidRPr="004C1EBC">
        <w:rPr>
          <w:rFonts w:ascii="Verdana" w:hAnsi="Verdana"/>
          <w:color w:val="000000"/>
          <w:sz w:val="18"/>
          <w:szCs w:val="18"/>
          <w:shd w:val="clear" w:color="auto" w:fill="FFFFFF"/>
        </w:rPr>
        <w:t xml:space="preserve"> Manuscript:</w:t>
      </w:r>
      <w:r w:rsidR="006E6A14">
        <w:rPr>
          <w:rFonts w:ascii="Verdana" w:hAnsi="Verdana"/>
          <w:color w:val="000000"/>
          <w:sz w:val="18"/>
          <w:szCs w:val="18"/>
          <w:shd w:val="clear" w:color="auto" w:fill="FFFFFF"/>
        </w:rPr>
        <w:t xml:space="preserve"> 377</w:t>
      </w:r>
      <w:r w:rsidR="00BA6B75">
        <w:rPr>
          <w:rFonts w:ascii="Verdana" w:hAnsi="Verdana"/>
          <w:color w:val="000000"/>
          <w:sz w:val="18"/>
          <w:szCs w:val="18"/>
          <w:shd w:val="clear" w:color="auto" w:fill="FFFFFF"/>
        </w:rPr>
        <w:t>4</w:t>
      </w:r>
    </w:p>
    <w:p w14:paraId="524B60D1" w14:textId="33FFE937" w:rsidR="004E7EBA" w:rsidRDefault="00A81743" w:rsidP="00F23E7B">
      <w:pPr>
        <w:pStyle w:val="NormalWeb"/>
        <w:spacing w:line="360" w:lineRule="auto"/>
        <w:rPr>
          <w:rFonts w:ascii="Verdana" w:hAnsi="Verdana"/>
          <w:color w:val="000000"/>
          <w:sz w:val="18"/>
          <w:szCs w:val="18"/>
          <w:shd w:val="clear" w:color="auto" w:fill="FFFFFF"/>
        </w:rPr>
      </w:pPr>
      <w:r w:rsidRPr="00AC405C">
        <w:rPr>
          <w:rFonts w:ascii="Verdana" w:hAnsi="Verdana"/>
          <w:b/>
          <w:color w:val="000000"/>
          <w:sz w:val="18"/>
          <w:szCs w:val="18"/>
          <w:shd w:val="clear" w:color="auto" w:fill="FFFFFF"/>
        </w:rPr>
        <w:t xml:space="preserve">Abbreviated Title: </w:t>
      </w:r>
      <w:r w:rsidRPr="00AC405C">
        <w:rPr>
          <w:rFonts w:ascii="Verdana" w:hAnsi="Verdana"/>
          <w:color w:val="000000"/>
          <w:sz w:val="18"/>
          <w:szCs w:val="18"/>
          <w:shd w:val="clear" w:color="auto" w:fill="FFFFFF"/>
        </w:rPr>
        <w:t xml:space="preserve">Virtual Reality </w:t>
      </w:r>
      <w:r>
        <w:rPr>
          <w:rFonts w:ascii="Verdana" w:hAnsi="Verdana"/>
          <w:color w:val="000000"/>
          <w:sz w:val="18"/>
          <w:szCs w:val="18"/>
          <w:shd w:val="clear" w:color="auto" w:fill="FFFFFF"/>
        </w:rPr>
        <w:t xml:space="preserve">and Patient Controlled Sedation </w:t>
      </w:r>
      <w:r w:rsidRPr="00AC405C">
        <w:rPr>
          <w:rFonts w:ascii="Verdana" w:hAnsi="Verdana"/>
          <w:color w:val="000000"/>
          <w:sz w:val="18"/>
          <w:szCs w:val="18"/>
          <w:shd w:val="clear" w:color="auto" w:fill="FFFFFF"/>
        </w:rPr>
        <w:t>in Regional Anesthesia</w:t>
      </w:r>
    </w:p>
    <w:p w14:paraId="7BA2AEF4" w14:textId="77777777" w:rsidR="004E7EBA" w:rsidRDefault="004E7EBA">
      <w:pPr>
        <w:rPr>
          <w:rFonts w:ascii="Verdana" w:eastAsia="Times New Roman" w:hAnsi="Verdana" w:cs="Times New Roman"/>
          <w:color w:val="000000"/>
          <w:sz w:val="18"/>
          <w:szCs w:val="18"/>
          <w:shd w:val="clear" w:color="auto" w:fill="FFFFFF"/>
          <w:lang w:val="en-US"/>
        </w:rPr>
      </w:pPr>
      <w:r>
        <w:rPr>
          <w:rFonts w:ascii="Verdana" w:hAnsi="Verdana"/>
          <w:color w:val="000000"/>
          <w:sz w:val="18"/>
          <w:szCs w:val="18"/>
          <w:shd w:val="clear" w:color="auto" w:fill="FFFFFF"/>
        </w:rPr>
        <w:br w:type="page"/>
      </w:r>
    </w:p>
    <w:p w14:paraId="67D00FED" w14:textId="2B1ECDE3" w:rsidR="00A81743" w:rsidRPr="004E7EBA" w:rsidRDefault="004E7EBA" w:rsidP="00F23E7B">
      <w:pPr>
        <w:pStyle w:val="NormalWeb"/>
        <w:spacing w:line="360" w:lineRule="auto"/>
        <w:rPr>
          <w:rFonts w:ascii="Verdana" w:hAnsi="Verdana"/>
          <w:b/>
          <w:color w:val="000000"/>
          <w:sz w:val="18"/>
          <w:szCs w:val="18"/>
          <w:shd w:val="clear" w:color="auto" w:fill="FFFFFF"/>
        </w:rPr>
      </w:pPr>
      <w:r w:rsidRPr="004E7EBA">
        <w:rPr>
          <w:rFonts w:ascii="Verdana" w:hAnsi="Verdana"/>
          <w:b/>
          <w:color w:val="000000"/>
          <w:sz w:val="18"/>
          <w:szCs w:val="18"/>
          <w:shd w:val="clear" w:color="auto" w:fill="FFFFFF"/>
        </w:rPr>
        <w:lastRenderedPageBreak/>
        <w:t>Key Points</w:t>
      </w:r>
    </w:p>
    <w:p w14:paraId="74F5B453" w14:textId="7BB151B0" w:rsidR="004E7EBA" w:rsidRDefault="004E7EBA" w:rsidP="00F23E7B">
      <w:pPr>
        <w:spacing w:line="360" w:lineRule="auto"/>
        <w:rPr>
          <w:rFonts w:ascii="Verdana" w:hAnsi="Verdana"/>
          <w:color w:val="000000"/>
          <w:sz w:val="18"/>
          <w:szCs w:val="18"/>
          <w:shd w:val="clear" w:color="auto" w:fill="FFFFFF"/>
        </w:rPr>
      </w:pPr>
      <w:r>
        <w:rPr>
          <w:rFonts w:ascii="Verdana" w:hAnsi="Verdana"/>
          <w:color w:val="000000"/>
          <w:sz w:val="18"/>
          <w:szCs w:val="18"/>
          <w:shd w:val="clear" w:color="auto" w:fill="FFFFFF"/>
        </w:rPr>
        <w:t xml:space="preserve">Question: Does Immersive Virtual Reality reduce the </w:t>
      </w:r>
      <w:proofErr w:type="spellStart"/>
      <w:r>
        <w:rPr>
          <w:rFonts w:ascii="Verdana" w:hAnsi="Verdana"/>
          <w:color w:val="000000"/>
          <w:sz w:val="18"/>
          <w:szCs w:val="18"/>
          <w:shd w:val="clear" w:color="auto" w:fill="FFFFFF"/>
        </w:rPr>
        <w:t>self administered</w:t>
      </w:r>
      <w:proofErr w:type="spellEnd"/>
      <w:r>
        <w:rPr>
          <w:rFonts w:ascii="Verdana" w:hAnsi="Verdana"/>
          <w:color w:val="000000"/>
          <w:sz w:val="18"/>
          <w:szCs w:val="18"/>
          <w:shd w:val="clear" w:color="auto" w:fill="FFFFFF"/>
        </w:rPr>
        <w:t xml:space="preserve"> propofol sedation requirements of patients receiving joint replacement under regional anesthesia?</w:t>
      </w:r>
    </w:p>
    <w:p w14:paraId="43092C10" w14:textId="77777777" w:rsidR="004E7EBA" w:rsidRDefault="004E7EBA" w:rsidP="00F23E7B">
      <w:pPr>
        <w:spacing w:line="360" w:lineRule="auto"/>
        <w:rPr>
          <w:rFonts w:ascii="Verdana" w:hAnsi="Verdana"/>
          <w:color w:val="000000"/>
          <w:sz w:val="18"/>
          <w:szCs w:val="18"/>
          <w:shd w:val="clear" w:color="auto" w:fill="FFFFFF"/>
        </w:rPr>
      </w:pPr>
      <w:r>
        <w:rPr>
          <w:rFonts w:ascii="Verdana" w:hAnsi="Verdana"/>
          <w:color w:val="000000"/>
          <w:sz w:val="18"/>
          <w:szCs w:val="18"/>
          <w:shd w:val="clear" w:color="auto" w:fill="FFFFFF"/>
        </w:rPr>
        <w:t xml:space="preserve">Findings: There was no reduction in </w:t>
      </w:r>
      <w:proofErr w:type="spellStart"/>
      <w:r>
        <w:rPr>
          <w:rFonts w:ascii="Verdana" w:hAnsi="Verdana"/>
          <w:color w:val="000000"/>
          <w:sz w:val="18"/>
          <w:szCs w:val="18"/>
          <w:shd w:val="clear" w:color="auto" w:fill="FFFFFF"/>
        </w:rPr>
        <w:t>self administered</w:t>
      </w:r>
      <w:proofErr w:type="spellEnd"/>
      <w:r>
        <w:rPr>
          <w:rFonts w:ascii="Verdana" w:hAnsi="Verdana"/>
          <w:color w:val="000000"/>
          <w:sz w:val="18"/>
          <w:szCs w:val="18"/>
          <w:shd w:val="clear" w:color="auto" w:fill="FFFFFF"/>
        </w:rPr>
        <w:t xml:space="preserve"> propofol sedation in individuals receiving Immersive Virtual Reality compared to individuals receiving conventional care when receiving joint replacement.</w:t>
      </w:r>
    </w:p>
    <w:p w14:paraId="39B6B790" w14:textId="6B6A798C" w:rsidR="00A81743" w:rsidRDefault="004E7EBA" w:rsidP="00F23E7B">
      <w:pPr>
        <w:spacing w:line="360" w:lineRule="auto"/>
        <w:rPr>
          <w:rFonts w:ascii="Verdana" w:eastAsia="Times New Roman" w:hAnsi="Verdana" w:cs="Times New Roman"/>
          <w:color w:val="000000"/>
          <w:sz w:val="18"/>
          <w:szCs w:val="18"/>
          <w:shd w:val="clear" w:color="auto" w:fill="FFFFFF"/>
          <w:lang w:val="en-US"/>
        </w:rPr>
      </w:pPr>
      <w:r>
        <w:rPr>
          <w:rFonts w:ascii="Verdana" w:hAnsi="Verdana"/>
          <w:color w:val="000000"/>
          <w:sz w:val="18"/>
          <w:szCs w:val="18"/>
          <w:shd w:val="clear" w:color="auto" w:fill="FFFFFF"/>
        </w:rPr>
        <w:t>Meaning: It is unlikely that IVR therapy will demonstrate any significant reduction in sedation requirements without a larger, higher powered trial in specific patient subpopulations and personalized software, and the effect, if it exists, is likely to be very small.</w:t>
      </w:r>
      <w:r w:rsidR="00A81743">
        <w:rPr>
          <w:rFonts w:ascii="Verdana" w:hAnsi="Verdana"/>
          <w:color w:val="000000"/>
          <w:sz w:val="18"/>
          <w:szCs w:val="18"/>
          <w:shd w:val="clear" w:color="auto" w:fill="FFFFFF"/>
        </w:rPr>
        <w:br w:type="page"/>
      </w:r>
    </w:p>
    <w:p w14:paraId="3D2E7322" w14:textId="77777777" w:rsidR="00BD4805" w:rsidRPr="0077487F" w:rsidRDefault="00BD4805" w:rsidP="00F23E7B">
      <w:pPr>
        <w:pStyle w:val="NormalWeb"/>
        <w:spacing w:line="360" w:lineRule="auto"/>
        <w:rPr>
          <w:rFonts w:ascii="Verdana" w:hAnsi="Verdana"/>
          <w:color w:val="000000"/>
          <w:sz w:val="18"/>
          <w:szCs w:val="18"/>
          <w:shd w:val="clear" w:color="auto" w:fill="FFFFFF"/>
        </w:rPr>
      </w:pPr>
    </w:p>
    <w:p w14:paraId="4B036B93" w14:textId="07B4853A" w:rsidR="00F72755" w:rsidRPr="00880BDC" w:rsidRDefault="00F72755" w:rsidP="00F72755">
      <w:pPr>
        <w:spacing w:line="360" w:lineRule="auto"/>
        <w:rPr>
          <w:rFonts w:ascii="Cambria" w:eastAsia="PMingLiU" w:hAnsi="Cambria" w:cstheme="minorHAnsi"/>
          <w:spacing w:val="30"/>
          <w:sz w:val="32"/>
          <w:lang w:val="en-US" w:eastAsia="zh-HK"/>
        </w:rPr>
      </w:pPr>
      <w:r>
        <w:rPr>
          <w:rFonts w:ascii="Cambria" w:eastAsia="PMingLiU" w:hAnsi="Cambria" w:cstheme="minorHAnsi"/>
          <w:spacing w:val="30"/>
          <w:sz w:val="32"/>
          <w:lang w:val="en-US" w:eastAsia="zh-HK"/>
        </w:rPr>
        <w:t xml:space="preserve">Effects of </w:t>
      </w:r>
      <w:r w:rsidR="00D60849">
        <w:rPr>
          <w:rFonts w:ascii="Cambria" w:eastAsia="PMingLiU" w:hAnsi="Cambria" w:cstheme="minorHAnsi"/>
          <w:spacing w:val="30"/>
          <w:sz w:val="32"/>
          <w:lang w:val="en-US" w:eastAsia="zh-HK"/>
        </w:rPr>
        <w:t xml:space="preserve">Immersive </w:t>
      </w:r>
      <w:r w:rsidRPr="00880BDC">
        <w:rPr>
          <w:rFonts w:ascii="Cambria" w:eastAsia="PMingLiU" w:hAnsi="Cambria" w:cstheme="minorHAnsi"/>
          <w:spacing w:val="30"/>
          <w:sz w:val="32"/>
          <w:lang w:val="en-US" w:eastAsia="zh-HK"/>
        </w:rPr>
        <w:t xml:space="preserve">Virtual Reality Therapy </w:t>
      </w:r>
      <w:r>
        <w:rPr>
          <w:rFonts w:ascii="Cambria" w:eastAsia="PMingLiU" w:hAnsi="Cambria" w:cstheme="minorHAnsi"/>
          <w:spacing w:val="30"/>
          <w:sz w:val="32"/>
          <w:lang w:val="en-US" w:eastAsia="zh-HK"/>
        </w:rPr>
        <w:t xml:space="preserve">on Intravenous </w:t>
      </w:r>
      <w:r w:rsidRPr="00880BDC">
        <w:rPr>
          <w:rFonts w:ascii="Cambria" w:eastAsia="PMingLiU" w:hAnsi="Cambria" w:cstheme="minorHAnsi"/>
          <w:spacing w:val="30"/>
          <w:sz w:val="32"/>
          <w:lang w:val="en-US" w:eastAsia="zh-HK"/>
        </w:rPr>
        <w:t xml:space="preserve">Patient Controlled Sedation </w:t>
      </w:r>
      <w:proofErr w:type="gramStart"/>
      <w:r w:rsidRPr="00880BDC">
        <w:rPr>
          <w:rFonts w:ascii="Cambria" w:eastAsia="PMingLiU" w:hAnsi="Cambria" w:cstheme="minorHAnsi"/>
          <w:spacing w:val="30"/>
          <w:sz w:val="32"/>
          <w:lang w:val="en-US" w:eastAsia="zh-HK"/>
        </w:rPr>
        <w:t>During</w:t>
      </w:r>
      <w:proofErr w:type="gramEnd"/>
      <w:r w:rsidRPr="00880BDC">
        <w:rPr>
          <w:rFonts w:ascii="Cambria" w:eastAsia="PMingLiU" w:hAnsi="Cambria" w:cstheme="minorHAnsi"/>
          <w:spacing w:val="30"/>
          <w:sz w:val="32"/>
          <w:lang w:val="en-US" w:eastAsia="zh-HK"/>
        </w:rPr>
        <w:t xml:space="preserve"> Orthopedic Surgery Under Regional Anesthesia</w:t>
      </w:r>
    </w:p>
    <w:p w14:paraId="78411149" w14:textId="77777777" w:rsidR="00E47F73" w:rsidRPr="00A81743" w:rsidRDefault="00E47F73" w:rsidP="00F23E7B">
      <w:pPr>
        <w:pStyle w:val="Heading2"/>
        <w:spacing w:line="360" w:lineRule="auto"/>
        <w:rPr>
          <w:rFonts w:asciiTheme="minorHAnsi" w:hAnsiTheme="minorHAnsi" w:cstheme="minorHAnsi"/>
          <w:sz w:val="22"/>
          <w:szCs w:val="22"/>
        </w:rPr>
      </w:pPr>
    </w:p>
    <w:p w14:paraId="22BC7C35" w14:textId="33F5D033" w:rsidR="00E47F73" w:rsidRPr="00A81743" w:rsidRDefault="00E47F73" w:rsidP="00F23E7B">
      <w:pPr>
        <w:pStyle w:val="Heading2"/>
        <w:spacing w:line="360" w:lineRule="auto"/>
        <w:rPr>
          <w:rFonts w:asciiTheme="minorHAnsi" w:hAnsiTheme="minorHAnsi" w:cstheme="minorHAnsi"/>
          <w:sz w:val="22"/>
          <w:szCs w:val="22"/>
        </w:rPr>
      </w:pPr>
      <w:r w:rsidRPr="00A81743">
        <w:rPr>
          <w:rFonts w:asciiTheme="minorHAnsi" w:hAnsiTheme="minorHAnsi" w:cstheme="minorHAnsi"/>
          <w:sz w:val="22"/>
          <w:szCs w:val="22"/>
        </w:rPr>
        <w:t>Mark Huang, Simon Scharf, and Peter Chan</w:t>
      </w:r>
    </w:p>
    <w:p w14:paraId="50D4BD05" w14:textId="77777777" w:rsidR="00E47F73" w:rsidRPr="00A81743" w:rsidRDefault="00E47F73" w:rsidP="00F23E7B">
      <w:pPr>
        <w:pStyle w:val="Heading2"/>
        <w:spacing w:line="360" w:lineRule="auto"/>
        <w:rPr>
          <w:rFonts w:asciiTheme="minorHAnsi" w:hAnsiTheme="minorHAnsi" w:cstheme="minorHAnsi"/>
          <w:sz w:val="22"/>
          <w:szCs w:val="22"/>
        </w:rPr>
      </w:pPr>
      <w:r w:rsidRPr="00A81743">
        <w:rPr>
          <w:rFonts w:asciiTheme="minorHAnsi" w:hAnsiTheme="minorHAnsi" w:cstheme="minorHAnsi"/>
          <w:sz w:val="22"/>
          <w:szCs w:val="22"/>
        </w:rPr>
        <w:t>Department of Anesthesia and Acute Pain Medicine</w:t>
      </w:r>
    </w:p>
    <w:p w14:paraId="0C644B47" w14:textId="77777777" w:rsidR="00E47F73" w:rsidRPr="00A81743" w:rsidRDefault="00E47F73" w:rsidP="00F23E7B">
      <w:pPr>
        <w:pStyle w:val="Heading2"/>
        <w:spacing w:line="360" w:lineRule="auto"/>
        <w:rPr>
          <w:rFonts w:asciiTheme="minorHAnsi" w:hAnsiTheme="minorHAnsi" w:cstheme="minorHAnsi"/>
          <w:sz w:val="22"/>
          <w:szCs w:val="22"/>
        </w:rPr>
      </w:pPr>
      <w:r w:rsidRPr="00A81743">
        <w:rPr>
          <w:rFonts w:asciiTheme="minorHAnsi" w:hAnsiTheme="minorHAnsi" w:cstheme="minorHAnsi"/>
          <w:sz w:val="22"/>
          <w:szCs w:val="22"/>
        </w:rPr>
        <w:t>St Vincent’s Hospital</w:t>
      </w:r>
    </w:p>
    <w:p w14:paraId="7EA889D4" w14:textId="77777777" w:rsidR="00E47F73" w:rsidRPr="00A81743" w:rsidRDefault="00E47F73" w:rsidP="00F23E7B">
      <w:pPr>
        <w:pStyle w:val="Heading2"/>
        <w:spacing w:line="360" w:lineRule="auto"/>
        <w:rPr>
          <w:rFonts w:asciiTheme="minorHAnsi" w:hAnsiTheme="minorHAnsi" w:cstheme="minorHAnsi"/>
          <w:sz w:val="22"/>
          <w:szCs w:val="22"/>
        </w:rPr>
      </w:pPr>
      <w:r w:rsidRPr="00A81743">
        <w:rPr>
          <w:rFonts w:asciiTheme="minorHAnsi" w:hAnsiTheme="minorHAnsi" w:cstheme="minorHAnsi"/>
          <w:sz w:val="22"/>
          <w:szCs w:val="22"/>
        </w:rPr>
        <w:t>Melbourne, Australia</w:t>
      </w:r>
    </w:p>
    <w:p w14:paraId="119BD1F6" w14:textId="77777777" w:rsidR="00BD4805" w:rsidRPr="00A81743" w:rsidRDefault="00BD4805" w:rsidP="00F23E7B">
      <w:pPr>
        <w:spacing w:line="360" w:lineRule="auto"/>
        <w:rPr>
          <w:rFonts w:eastAsiaTheme="minorEastAsia" w:cstheme="minorHAnsi"/>
          <w:b/>
          <w:lang w:val="en-US"/>
        </w:rPr>
      </w:pPr>
      <w:r w:rsidRPr="00A81743">
        <w:rPr>
          <w:rFonts w:eastAsiaTheme="minorEastAsia" w:cstheme="minorHAnsi"/>
          <w:b/>
          <w:lang w:val="en-US"/>
        </w:rPr>
        <w:br w:type="page"/>
      </w:r>
    </w:p>
    <w:p w14:paraId="21D28304" w14:textId="77777777" w:rsidR="00F2239D" w:rsidRPr="00A81743" w:rsidRDefault="00227A20" w:rsidP="00F23E7B">
      <w:pPr>
        <w:pStyle w:val="NoSpacing"/>
        <w:spacing w:line="360" w:lineRule="auto"/>
        <w:rPr>
          <w:rFonts w:eastAsia="PMingLiU" w:cstheme="minorHAnsi"/>
          <w:b/>
          <w:lang w:eastAsia="zh-HK"/>
        </w:rPr>
      </w:pPr>
      <w:r w:rsidRPr="00A81743">
        <w:rPr>
          <w:rFonts w:cstheme="minorHAnsi"/>
          <w:b/>
        </w:rPr>
        <w:lastRenderedPageBreak/>
        <w:t>Abstract</w:t>
      </w:r>
    </w:p>
    <w:p w14:paraId="23C83881" w14:textId="77777777" w:rsidR="00E47F73" w:rsidRPr="00A81743" w:rsidRDefault="00E47F73" w:rsidP="00F23E7B">
      <w:pPr>
        <w:pStyle w:val="NoSpacing"/>
        <w:spacing w:line="360" w:lineRule="auto"/>
        <w:rPr>
          <w:rFonts w:eastAsia="PMingLiU" w:cstheme="minorHAnsi"/>
          <w:b/>
          <w:lang w:eastAsia="zh-HK"/>
        </w:rPr>
      </w:pPr>
    </w:p>
    <w:p w14:paraId="6B52DA6D" w14:textId="4A55CBBD" w:rsidR="00E47F73" w:rsidRPr="00A81743" w:rsidRDefault="00E47F73" w:rsidP="00F23E7B">
      <w:pPr>
        <w:spacing w:line="360" w:lineRule="auto"/>
        <w:rPr>
          <w:rFonts w:cstheme="minorHAnsi"/>
        </w:rPr>
      </w:pPr>
      <w:r w:rsidRPr="00A81743">
        <w:rPr>
          <w:rFonts w:cstheme="minorHAnsi"/>
          <w:b/>
        </w:rPr>
        <w:t xml:space="preserve">Objective: </w:t>
      </w:r>
      <w:r w:rsidRPr="00A81743">
        <w:rPr>
          <w:rFonts w:cstheme="minorHAnsi"/>
        </w:rPr>
        <w:t xml:space="preserve">To assess the effect of providing Immersive Virtual Reality </w:t>
      </w:r>
      <w:r w:rsidR="00D60849">
        <w:rPr>
          <w:rFonts w:cstheme="minorHAnsi"/>
        </w:rPr>
        <w:t xml:space="preserve">(IVR) </w:t>
      </w:r>
      <w:r w:rsidRPr="00A81743">
        <w:rPr>
          <w:rFonts w:cstheme="minorHAnsi"/>
        </w:rPr>
        <w:t>Therapy on the self-admin</w:t>
      </w:r>
      <w:r w:rsidR="00F72755">
        <w:rPr>
          <w:rFonts w:cstheme="minorHAnsi"/>
        </w:rPr>
        <w:t>istered sedation requirements of</w:t>
      </w:r>
      <w:r w:rsidRPr="00A81743">
        <w:rPr>
          <w:rFonts w:cstheme="minorHAnsi"/>
        </w:rPr>
        <w:t xml:space="preserve"> patients undergoing joint replacement surgery under regional anesthesia in a single </w:t>
      </w:r>
      <w:proofErr w:type="spellStart"/>
      <w:r w:rsidRPr="00A81743">
        <w:rPr>
          <w:rFonts w:cstheme="minorHAnsi"/>
        </w:rPr>
        <w:t>center</w:t>
      </w:r>
      <w:proofErr w:type="spellEnd"/>
      <w:r w:rsidRPr="00A81743">
        <w:rPr>
          <w:rFonts w:cstheme="minorHAnsi"/>
        </w:rPr>
        <w:t>.</w:t>
      </w:r>
    </w:p>
    <w:p w14:paraId="64927C69" w14:textId="297BB406" w:rsidR="00E47F73" w:rsidRPr="00A81743" w:rsidRDefault="00E47F73" w:rsidP="00F23E7B">
      <w:pPr>
        <w:spacing w:line="360" w:lineRule="auto"/>
        <w:rPr>
          <w:rFonts w:cstheme="minorHAnsi"/>
        </w:rPr>
      </w:pPr>
      <w:r w:rsidRPr="00A81743">
        <w:rPr>
          <w:rFonts w:cstheme="minorHAnsi"/>
          <w:b/>
        </w:rPr>
        <w:t xml:space="preserve">Design, setting, and participants: </w:t>
      </w:r>
      <w:r w:rsidRPr="00A81743">
        <w:rPr>
          <w:rFonts w:cstheme="minorHAnsi"/>
        </w:rPr>
        <w:t xml:space="preserve">Single </w:t>
      </w:r>
      <w:proofErr w:type="spellStart"/>
      <w:r w:rsidR="001A657B" w:rsidRPr="00A81743">
        <w:rPr>
          <w:rFonts w:cstheme="minorHAnsi"/>
        </w:rPr>
        <w:t>cent</w:t>
      </w:r>
      <w:r w:rsidR="001A657B">
        <w:rPr>
          <w:rFonts w:cstheme="minorHAnsi"/>
        </w:rPr>
        <w:t>er</w:t>
      </w:r>
      <w:proofErr w:type="spellEnd"/>
      <w:r w:rsidRPr="00A81743">
        <w:rPr>
          <w:rFonts w:cstheme="minorHAnsi"/>
        </w:rPr>
        <w:t xml:space="preserve">, randomized control trial at St Vincent’s Hospital in Melbourne, Australia. Fifty patients undergoing elective knee and hip replacement surgery were randomized to IVR and patient controlled </w:t>
      </w:r>
      <w:r w:rsidR="001A657B">
        <w:rPr>
          <w:rFonts w:cstheme="minorHAnsi"/>
        </w:rPr>
        <w:t xml:space="preserve">propofol </w:t>
      </w:r>
      <w:r w:rsidRPr="00A81743">
        <w:rPr>
          <w:rFonts w:cstheme="minorHAnsi"/>
        </w:rPr>
        <w:t>sedation</w:t>
      </w:r>
      <w:r w:rsidR="001A657B">
        <w:rPr>
          <w:rFonts w:cstheme="minorHAnsi"/>
        </w:rPr>
        <w:t xml:space="preserve"> or</w:t>
      </w:r>
      <w:r w:rsidRPr="00A81743">
        <w:rPr>
          <w:rFonts w:cstheme="minorHAnsi"/>
        </w:rPr>
        <w:t xml:space="preserve"> patient controlled</w:t>
      </w:r>
      <w:r w:rsidR="001A657B">
        <w:rPr>
          <w:rFonts w:cstheme="minorHAnsi"/>
        </w:rPr>
        <w:t xml:space="preserve"> propofol</w:t>
      </w:r>
      <w:r w:rsidRPr="00A81743">
        <w:rPr>
          <w:rFonts w:cstheme="minorHAnsi"/>
        </w:rPr>
        <w:t xml:space="preserve"> sedation alone. </w:t>
      </w:r>
    </w:p>
    <w:p w14:paraId="62BBA8E0" w14:textId="77777777" w:rsidR="00E47F73" w:rsidRPr="00A81743" w:rsidRDefault="00E47F73" w:rsidP="00F23E7B">
      <w:pPr>
        <w:spacing w:line="360" w:lineRule="auto"/>
        <w:rPr>
          <w:rFonts w:cstheme="minorHAnsi"/>
        </w:rPr>
      </w:pPr>
      <w:r w:rsidRPr="00A81743">
        <w:rPr>
          <w:rFonts w:cstheme="minorHAnsi"/>
          <w:b/>
        </w:rPr>
        <w:t xml:space="preserve">Main Outcome Measure: </w:t>
      </w:r>
      <w:r w:rsidRPr="00A81743">
        <w:rPr>
          <w:rFonts w:cstheme="minorHAnsi"/>
        </w:rPr>
        <w:t>Mean propofol usage per hour.</w:t>
      </w:r>
    </w:p>
    <w:p w14:paraId="631E6552" w14:textId="2BDF0AC2" w:rsidR="00E47F73" w:rsidRPr="00A81743" w:rsidRDefault="00E47F73" w:rsidP="00F23E7B">
      <w:pPr>
        <w:spacing w:line="360" w:lineRule="auto"/>
        <w:rPr>
          <w:rFonts w:cstheme="minorHAnsi"/>
        </w:rPr>
      </w:pPr>
      <w:r w:rsidRPr="00A81743">
        <w:rPr>
          <w:rFonts w:cstheme="minorHAnsi"/>
          <w:b/>
        </w:rPr>
        <w:t xml:space="preserve">Results: </w:t>
      </w:r>
      <w:r w:rsidR="00F72755">
        <w:rPr>
          <w:rFonts w:cstheme="minorHAnsi"/>
        </w:rPr>
        <w:t xml:space="preserve"> 25 patients received IVR</w:t>
      </w:r>
      <w:r w:rsidRPr="00A81743">
        <w:rPr>
          <w:rFonts w:cstheme="minorHAnsi"/>
        </w:rPr>
        <w:t xml:space="preserve"> </w:t>
      </w:r>
      <w:r w:rsidR="001A657B">
        <w:rPr>
          <w:rFonts w:cstheme="minorHAnsi"/>
        </w:rPr>
        <w:t xml:space="preserve">in conjunction </w:t>
      </w:r>
      <w:r w:rsidRPr="00A81743">
        <w:rPr>
          <w:rFonts w:cstheme="minorHAnsi"/>
        </w:rPr>
        <w:t>with propofol patient controlled sedation</w:t>
      </w:r>
      <w:r w:rsidR="00F72755">
        <w:rPr>
          <w:rFonts w:cstheme="minorHAnsi"/>
        </w:rPr>
        <w:t xml:space="preserve"> (PCS)</w:t>
      </w:r>
      <w:r w:rsidRPr="00A81743">
        <w:rPr>
          <w:rFonts w:cstheme="minorHAnsi"/>
        </w:rPr>
        <w:t xml:space="preserve">, and 25 patients received </w:t>
      </w:r>
      <w:r w:rsidR="00EA14AC">
        <w:rPr>
          <w:rFonts w:cstheme="minorHAnsi"/>
        </w:rPr>
        <w:t>PCS</w:t>
      </w:r>
      <w:r w:rsidRPr="00A81743">
        <w:rPr>
          <w:rFonts w:cstheme="minorHAnsi"/>
        </w:rPr>
        <w:t xml:space="preserve"> alone. All patients received adjunct analgesia from the tr</w:t>
      </w:r>
      <w:r w:rsidR="00A863AC">
        <w:rPr>
          <w:rFonts w:cstheme="minorHAnsi"/>
        </w:rPr>
        <w:t xml:space="preserve">eating </w:t>
      </w:r>
      <w:proofErr w:type="spellStart"/>
      <w:r w:rsidR="002F01E5">
        <w:rPr>
          <w:rFonts w:cstheme="minorHAnsi"/>
        </w:rPr>
        <w:t>A</w:t>
      </w:r>
      <w:r w:rsidR="00A863AC">
        <w:rPr>
          <w:rFonts w:cstheme="minorHAnsi"/>
        </w:rPr>
        <w:t>nesthesiologist</w:t>
      </w:r>
      <w:proofErr w:type="spellEnd"/>
      <w:r w:rsidR="00A863AC">
        <w:rPr>
          <w:rFonts w:cstheme="minorHAnsi"/>
        </w:rPr>
        <w:t xml:space="preserve">.  </w:t>
      </w:r>
      <w:r w:rsidR="008F4667" w:rsidRPr="00346944">
        <w:rPr>
          <w:rFonts w:cstheme="minorHAnsi"/>
        </w:rPr>
        <w:t>Mean propofol use/hour over the entire procedure in the control group was 53.46 ± 9.71 mg/hour compared with 52.33 ± 9.91 mg/</w:t>
      </w:r>
      <w:r w:rsidR="00827C44">
        <w:rPr>
          <w:rFonts w:cstheme="minorHAnsi"/>
        </w:rPr>
        <w:t>hour in the IVR group (p = 0.94</w:t>
      </w:r>
      <w:r w:rsidR="008F4667" w:rsidRPr="00346944">
        <w:rPr>
          <w:rFonts w:cstheme="minorHAnsi"/>
        </w:rPr>
        <w:t xml:space="preserve">, mean difference 1.12, 95 CI -26.7-29.03). </w:t>
      </w:r>
      <w:r w:rsidR="00032D25">
        <w:rPr>
          <w:rFonts w:cstheme="minorHAnsi"/>
        </w:rPr>
        <w:t xml:space="preserve">There were no differences in patterns of propofol use over the course of each procedure. </w:t>
      </w:r>
      <w:r w:rsidRPr="00A81743">
        <w:rPr>
          <w:rFonts w:cstheme="minorHAnsi"/>
        </w:rPr>
        <w:t>Postoperative satisfaction scores were equivalent in both groups.</w:t>
      </w:r>
      <w:r w:rsidR="00997F02" w:rsidRPr="00A81743">
        <w:rPr>
          <w:rFonts w:cstheme="minorHAnsi"/>
        </w:rPr>
        <w:t xml:space="preserve"> The VR intervention was well tolerated by all patients, with no report of </w:t>
      </w:r>
      <w:r w:rsidR="00382C86">
        <w:rPr>
          <w:rFonts w:cstheme="minorHAnsi"/>
        </w:rPr>
        <w:t xml:space="preserve">major </w:t>
      </w:r>
      <w:r w:rsidR="00997F02" w:rsidRPr="00A81743">
        <w:rPr>
          <w:rFonts w:cstheme="minorHAnsi"/>
        </w:rPr>
        <w:t>side effects.</w:t>
      </w:r>
      <w:r w:rsidR="00032D25">
        <w:rPr>
          <w:rFonts w:cstheme="minorHAnsi"/>
        </w:rPr>
        <w:t xml:space="preserve"> </w:t>
      </w:r>
      <w:r w:rsidRPr="00A81743">
        <w:rPr>
          <w:rFonts w:cstheme="minorHAnsi"/>
        </w:rPr>
        <w:t>Post-hoc analysis showed</w:t>
      </w:r>
      <w:r w:rsidR="00032D25">
        <w:rPr>
          <w:rFonts w:cstheme="minorHAnsi"/>
        </w:rPr>
        <w:t xml:space="preserve"> an association of propofol usage with position of patient, pre-procedure emotion score, and fentanyl use.</w:t>
      </w:r>
    </w:p>
    <w:p w14:paraId="532C735F" w14:textId="7E3E6C8C" w:rsidR="00E47F73" w:rsidRPr="00A81743" w:rsidRDefault="00E47F73" w:rsidP="00F23E7B">
      <w:pPr>
        <w:spacing w:line="360" w:lineRule="auto"/>
        <w:rPr>
          <w:rFonts w:eastAsia="PMingLiU" w:cstheme="minorHAnsi"/>
          <w:b/>
          <w:lang w:eastAsia="zh-HK"/>
        </w:rPr>
      </w:pPr>
      <w:r w:rsidRPr="00A81743">
        <w:rPr>
          <w:rFonts w:cstheme="minorHAnsi"/>
          <w:b/>
        </w:rPr>
        <w:t xml:space="preserve">Conclusions: </w:t>
      </w:r>
      <w:r w:rsidRPr="00A81743">
        <w:rPr>
          <w:rFonts w:cstheme="minorHAnsi"/>
        </w:rPr>
        <w:t xml:space="preserve">In patients receiving joint replacement surgery under regional anesthesia </w:t>
      </w:r>
      <w:r w:rsidR="00997F02" w:rsidRPr="00A81743">
        <w:rPr>
          <w:rFonts w:cstheme="minorHAnsi"/>
        </w:rPr>
        <w:t xml:space="preserve">with </w:t>
      </w:r>
      <w:r w:rsidR="00F72755">
        <w:rPr>
          <w:rFonts w:cstheme="minorHAnsi"/>
        </w:rPr>
        <w:t>PCS</w:t>
      </w:r>
      <w:r w:rsidRPr="00A81743">
        <w:rPr>
          <w:rFonts w:cstheme="minorHAnsi"/>
        </w:rPr>
        <w:t xml:space="preserve">, </w:t>
      </w:r>
      <w:r w:rsidR="00997F02" w:rsidRPr="00A81743">
        <w:rPr>
          <w:rFonts w:cstheme="minorHAnsi"/>
        </w:rPr>
        <w:t xml:space="preserve">IVR </w:t>
      </w:r>
      <w:r w:rsidR="001A657B">
        <w:rPr>
          <w:rFonts w:cstheme="minorHAnsi"/>
        </w:rPr>
        <w:t xml:space="preserve">was well tolerated but </w:t>
      </w:r>
      <w:r w:rsidR="00997F02" w:rsidRPr="00A81743">
        <w:rPr>
          <w:rFonts w:cstheme="minorHAnsi"/>
        </w:rPr>
        <w:t xml:space="preserve">did not decrease the overall sedation requirement. </w:t>
      </w:r>
    </w:p>
    <w:p w14:paraId="1E290081" w14:textId="77777777" w:rsidR="00227A20" w:rsidRPr="00A81743" w:rsidRDefault="00227A20" w:rsidP="00F23E7B">
      <w:pPr>
        <w:pStyle w:val="NoSpacing"/>
        <w:spacing w:line="360" w:lineRule="auto"/>
        <w:rPr>
          <w:rFonts w:cstheme="minorHAnsi"/>
        </w:rPr>
      </w:pPr>
    </w:p>
    <w:p w14:paraId="46BC1951" w14:textId="77777777" w:rsidR="005730B4" w:rsidRPr="00A81743" w:rsidRDefault="005730B4" w:rsidP="00F23E7B">
      <w:pPr>
        <w:pStyle w:val="NoSpacing"/>
        <w:spacing w:line="360" w:lineRule="auto"/>
        <w:rPr>
          <w:rFonts w:eastAsia="PMingLiU" w:cstheme="minorHAnsi"/>
          <w:lang w:eastAsia="zh-HK"/>
        </w:rPr>
      </w:pPr>
    </w:p>
    <w:p w14:paraId="392423F3" w14:textId="77777777" w:rsidR="005730B4" w:rsidRPr="00A81743" w:rsidRDefault="005730B4" w:rsidP="00F23E7B">
      <w:pPr>
        <w:pStyle w:val="NoSpacing"/>
        <w:spacing w:line="360" w:lineRule="auto"/>
        <w:rPr>
          <w:rFonts w:eastAsia="PMingLiU" w:cstheme="minorHAnsi"/>
          <w:lang w:eastAsia="zh-HK"/>
        </w:rPr>
      </w:pPr>
      <w:r w:rsidRPr="00A81743">
        <w:rPr>
          <w:rFonts w:eastAsia="PMingLiU" w:cstheme="minorHAnsi"/>
          <w:b/>
          <w:lang w:eastAsia="zh-HK"/>
        </w:rPr>
        <w:t xml:space="preserve">Key words: </w:t>
      </w:r>
      <w:r w:rsidRPr="00A81743">
        <w:rPr>
          <w:rFonts w:eastAsia="PMingLiU" w:cstheme="minorHAnsi"/>
          <w:lang w:eastAsia="zh-HK"/>
        </w:rPr>
        <w:t>Virtual reality, VR, distraction, sedation, joint replacement surgery</w:t>
      </w:r>
    </w:p>
    <w:p w14:paraId="3A83EDDB" w14:textId="77777777" w:rsidR="005730B4" w:rsidRPr="00A81743" w:rsidRDefault="005730B4" w:rsidP="00F23E7B">
      <w:pPr>
        <w:pStyle w:val="NoSpacing"/>
        <w:spacing w:line="360" w:lineRule="auto"/>
        <w:rPr>
          <w:rFonts w:eastAsia="PMingLiU" w:cstheme="minorHAnsi"/>
          <w:lang w:eastAsia="zh-HK"/>
        </w:rPr>
      </w:pPr>
    </w:p>
    <w:p w14:paraId="07031B25" w14:textId="77777777" w:rsidR="00BB59F3" w:rsidRPr="00A81743" w:rsidRDefault="00BB59F3" w:rsidP="00F23E7B">
      <w:pPr>
        <w:spacing w:line="360" w:lineRule="auto"/>
        <w:rPr>
          <w:rFonts w:cstheme="minorHAnsi"/>
          <w:b/>
        </w:rPr>
      </w:pPr>
      <w:r w:rsidRPr="00A81743">
        <w:rPr>
          <w:rFonts w:cstheme="minorHAnsi"/>
          <w:b/>
        </w:rPr>
        <w:br w:type="page"/>
      </w:r>
    </w:p>
    <w:p w14:paraId="7248B675" w14:textId="76146211" w:rsidR="00A715CA" w:rsidRDefault="00515310" w:rsidP="00F23E7B">
      <w:pPr>
        <w:pStyle w:val="NoSpacing"/>
        <w:spacing w:line="360" w:lineRule="auto"/>
        <w:rPr>
          <w:rFonts w:cstheme="minorHAnsi"/>
          <w:b/>
        </w:rPr>
      </w:pPr>
      <w:r w:rsidRPr="00A81743">
        <w:rPr>
          <w:rFonts w:cstheme="minorHAnsi"/>
          <w:b/>
        </w:rPr>
        <w:lastRenderedPageBreak/>
        <w:t>Introduction</w:t>
      </w:r>
    </w:p>
    <w:p w14:paraId="6349EC3F" w14:textId="77777777" w:rsidR="00263C09" w:rsidRPr="00A81743" w:rsidRDefault="00263C09" w:rsidP="00F23E7B">
      <w:pPr>
        <w:pStyle w:val="NoSpacing"/>
        <w:spacing w:line="360" w:lineRule="auto"/>
        <w:rPr>
          <w:rFonts w:cstheme="minorHAnsi"/>
          <w:b/>
        </w:rPr>
      </w:pPr>
    </w:p>
    <w:p w14:paraId="2DA87BE1" w14:textId="5CD2EEC1" w:rsidR="00DD1FD2" w:rsidRPr="00A81743" w:rsidRDefault="00B32539" w:rsidP="00F23E7B">
      <w:pPr>
        <w:pStyle w:val="NoSpacing"/>
        <w:spacing w:line="360" w:lineRule="auto"/>
        <w:rPr>
          <w:rFonts w:cstheme="minorHAnsi"/>
          <w:bCs/>
        </w:rPr>
      </w:pPr>
      <w:r w:rsidRPr="00A81743">
        <w:rPr>
          <w:rFonts w:cstheme="minorHAnsi"/>
          <w:bCs/>
        </w:rPr>
        <w:t>Immersive v</w:t>
      </w:r>
      <w:r w:rsidR="00390065" w:rsidRPr="00A81743">
        <w:rPr>
          <w:rFonts w:cstheme="minorHAnsi"/>
          <w:bCs/>
        </w:rPr>
        <w:t>irtual reality (</w:t>
      </w:r>
      <w:r w:rsidRPr="00A81743">
        <w:rPr>
          <w:rFonts w:cstheme="minorHAnsi"/>
          <w:bCs/>
        </w:rPr>
        <w:t>I</w:t>
      </w:r>
      <w:r w:rsidR="00390065" w:rsidRPr="00A81743">
        <w:rPr>
          <w:rFonts w:cstheme="minorHAnsi"/>
          <w:bCs/>
        </w:rPr>
        <w:t>VR) is</w:t>
      </w:r>
      <w:r w:rsidR="007646D8">
        <w:rPr>
          <w:rFonts w:cstheme="minorHAnsi"/>
          <w:bCs/>
        </w:rPr>
        <w:t xml:space="preserve"> a</w:t>
      </w:r>
      <w:r w:rsidR="00390065" w:rsidRPr="00A81743">
        <w:rPr>
          <w:rFonts w:cstheme="minorHAnsi"/>
          <w:bCs/>
        </w:rPr>
        <w:t xml:space="preserve"> </w:t>
      </w:r>
      <w:r w:rsidR="00A81743">
        <w:rPr>
          <w:rFonts w:cstheme="minorHAnsi"/>
          <w:bCs/>
        </w:rPr>
        <w:t>form of distraction therapy</w:t>
      </w:r>
      <w:r w:rsidR="00333B28">
        <w:rPr>
          <w:rFonts w:cstheme="minorHAnsi"/>
          <w:bCs/>
        </w:rPr>
        <w:t xml:space="preserve">, </w:t>
      </w:r>
      <w:r w:rsidR="007646D8">
        <w:rPr>
          <w:rFonts w:cstheme="minorHAnsi"/>
          <w:bCs/>
        </w:rPr>
        <w:t xml:space="preserve">used </w:t>
      </w:r>
      <w:r w:rsidR="00333B28">
        <w:rPr>
          <w:rFonts w:cstheme="minorHAnsi"/>
          <w:bCs/>
        </w:rPr>
        <w:t>as early as 2003</w:t>
      </w:r>
      <w:r w:rsidR="00460762">
        <w:rPr>
          <w:rFonts w:cstheme="minorHAnsi"/>
          <w:bCs/>
        </w:rPr>
        <w:t xml:space="preserve"> as an analgesia and sedation sparing agent</w:t>
      </w:r>
      <w:r w:rsidR="00333B28">
        <w:rPr>
          <w:rFonts w:cstheme="minorHAnsi"/>
          <w:bCs/>
        </w:rPr>
        <w:t xml:space="preserve"> (1) </w:t>
      </w:r>
      <w:r w:rsidR="004F41E2" w:rsidRPr="00A81743">
        <w:rPr>
          <w:rFonts w:cstheme="minorHAnsi"/>
          <w:bCs/>
        </w:rPr>
        <w:t xml:space="preserve">and </w:t>
      </w:r>
      <w:r w:rsidR="00A04F54" w:rsidRPr="00A81743">
        <w:rPr>
          <w:rFonts w:cstheme="minorHAnsi"/>
          <w:bCs/>
        </w:rPr>
        <w:t xml:space="preserve">has </w:t>
      </w:r>
      <w:r w:rsidR="00032D25">
        <w:rPr>
          <w:rFonts w:cstheme="minorHAnsi"/>
          <w:bCs/>
        </w:rPr>
        <w:t>shown potential</w:t>
      </w:r>
      <w:r w:rsidR="00333B28">
        <w:rPr>
          <w:rFonts w:cstheme="minorHAnsi"/>
          <w:bCs/>
        </w:rPr>
        <w:t xml:space="preserve"> in the management of </w:t>
      </w:r>
      <w:r w:rsidR="007646D8">
        <w:rPr>
          <w:rFonts w:cstheme="minorHAnsi"/>
          <w:bCs/>
        </w:rPr>
        <w:t xml:space="preserve">wound </w:t>
      </w:r>
      <w:r w:rsidR="00333B28">
        <w:rPr>
          <w:rFonts w:cstheme="minorHAnsi"/>
          <w:bCs/>
        </w:rPr>
        <w:t xml:space="preserve">care, physical therapy, or anxiety-provoking procedures (2-5) </w:t>
      </w:r>
      <w:r w:rsidR="007A31CD" w:rsidRPr="00A81743">
        <w:rPr>
          <w:rFonts w:cstheme="minorHAnsi"/>
          <w:bCs/>
        </w:rPr>
        <w:t xml:space="preserve">A typical </w:t>
      </w:r>
      <w:r w:rsidR="00951A4B" w:rsidRPr="00A81743">
        <w:rPr>
          <w:rFonts w:cstheme="minorHAnsi"/>
          <w:bCs/>
        </w:rPr>
        <w:t>I</w:t>
      </w:r>
      <w:r w:rsidR="004F41E2" w:rsidRPr="00A81743">
        <w:rPr>
          <w:rFonts w:cstheme="minorHAnsi"/>
          <w:bCs/>
        </w:rPr>
        <w:t xml:space="preserve">VR setup </w:t>
      </w:r>
      <w:r w:rsidR="007646D8" w:rsidRPr="00A81743">
        <w:rPr>
          <w:rFonts w:cstheme="minorHAnsi"/>
          <w:bCs/>
        </w:rPr>
        <w:t>utili</w:t>
      </w:r>
      <w:r w:rsidR="007646D8">
        <w:rPr>
          <w:rFonts w:cstheme="minorHAnsi"/>
          <w:bCs/>
        </w:rPr>
        <w:t>z</w:t>
      </w:r>
      <w:r w:rsidR="007646D8" w:rsidRPr="00A81743">
        <w:rPr>
          <w:rFonts w:cstheme="minorHAnsi"/>
          <w:bCs/>
        </w:rPr>
        <w:t xml:space="preserve">es </w:t>
      </w:r>
      <w:r w:rsidR="004F41E2" w:rsidRPr="00A81743">
        <w:rPr>
          <w:rFonts w:cstheme="minorHAnsi"/>
          <w:bCs/>
        </w:rPr>
        <w:t>a head-mounted display (HMD)</w:t>
      </w:r>
      <w:r w:rsidR="000F5ADA" w:rsidRPr="00A81743">
        <w:rPr>
          <w:rFonts w:cstheme="minorHAnsi"/>
          <w:bCs/>
        </w:rPr>
        <w:t xml:space="preserve"> projecting a</w:t>
      </w:r>
      <w:r w:rsidR="008D7BB0" w:rsidRPr="00A81743">
        <w:rPr>
          <w:rFonts w:cstheme="minorHAnsi"/>
          <w:bCs/>
        </w:rPr>
        <w:t>n interactive,</w:t>
      </w:r>
      <w:r w:rsidR="00B31247">
        <w:rPr>
          <w:rFonts w:cstheme="minorHAnsi"/>
          <w:bCs/>
        </w:rPr>
        <w:t xml:space="preserve"> computer-generated </w:t>
      </w:r>
      <w:r w:rsidR="000F5ADA" w:rsidRPr="00A81743">
        <w:rPr>
          <w:rFonts w:cstheme="minorHAnsi"/>
          <w:bCs/>
        </w:rPr>
        <w:t>environment</w:t>
      </w:r>
      <w:r w:rsidR="00157261" w:rsidRPr="00A81743">
        <w:rPr>
          <w:rFonts w:cstheme="minorHAnsi"/>
          <w:bCs/>
        </w:rPr>
        <w:t xml:space="preserve"> with accompanying auditory stimuli</w:t>
      </w:r>
      <w:r w:rsidR="008D7BB0" w:rsidRPr="00A81743">
        <w:rPr>
          <w:rFonts w:cstheme="minorHAnsi"/>
          <w:bCs/>
        </w:rPr>
        <w:t xml:space="preserve">, </w:t>
      </w:r>
      <w:r w:rsidR="006F1AC1" w:rsidRPr="00A81743">
        <w:rPr>
          <w:rFonts w:cstheme="minorHAnsi"/>
          <w:bCs/>
        </w:rPr>
        <w:t>enhanced</w:t>
      </w:r>
      <w:r w:rsidR="000F5ADA" w:rsidRPr="00A81743">
        <w:rPr>
          <w:rFonts w:cstheme="minorHAnsi"/>
          <w:bCs/>
        </w:rPr>
        <w:t xml:space="preserve"> by head-tracking technology</w:t>
      </w:r>
      <w:r w:rsidR="00B31247">
        <w:rPr>
          <w:rFonts w:cstheme="minorHAnsi"/>
          <w:bCs/>
        </w:rPr>
        <w:t>.</w:t>
      </w:r>
    </w:p>
    <w:p w14:paraId="74CEA968" w14:textId="77777777" w:rsidR="00E529AA" w:rsidRPr="00A81743" w:rsidRDefault="00E529AA" w:rsidP="00F23E7B">
      <w:pPr>
        <w:pStyle w:val="NoSpacing"/>
        <w:spacing w:line="360" w:lineRule="auto"/>
        <w:rPr>
          <w:rFonts w:cstheme="minorHAnsi"/>
          <w:bCs/>
        </w:rPr>
      </w:pPr>
    </w:p>
    <w:p w14:paraId="14D6F7FD" w14:textId="10D5FCC4" w:rsidR="007229C0" w:rsidRDefault="008D315B" w:rsidP="00F72755">
      <w:pPr>
        <w:pStyle w:val="NoSpacing"/>
        <w:spacing w:line="360" w:lineRule="auto"/>
        <w:rPr>
          <w:rFonts w:cstheme="minorHAnsi"/>
          <w:bCs/>
        </w:rPr>
      </w:pPr>
      <w:r w:rsidRPr="00A81743">
        <w:rPr>
          <w:rFonts w:cstheme="minorHAnsi"/>
          <w:bCs/>
        </w:rPr>
        <w:t xml:space="preserve">A pilot </w:t>
      </w:r>
      <w:r w:rsidR="00FB1ACF" w:rsidRPr="00A81743">
        <w:rPr>
          <w:rFonts w:cstheme="minorHAnsi"/>
          <w:bCs/>
        </w:rPr>
        <w:t>study</w:t>
      </w:r>
      <w:r w:rsidR="00EC4775" w:rsidRPr="00A81743">
        <w:rPr>
          <w:rFonts w:cstheme="minorHAnsi"/>
          <w:bCs/>
        </w:rPr>
        <w:t xml:space="preserve"> </w:t>
      </w:r>
      <w:r w:rsidR="00A70DD5">
        <w:rPr>
          <w:rFonts w:cstheme="minorHAnsi"/>
          <w:bCs/>
        </w:rPr>
        <w:t>of IVR using</w:t>
      </w:r>
      <w:r w:rsidRPr="00A81743">
        <w:rPr>
          <w:rFonts w:cstheme="minorHAnsi"/>
          <w:bCs/>
        </w:rPr>
        <w:t xml:space="preserve"> the Oculus Rift</w:t>
      </w:r>
      <w:r w:rsidR="00516B5F">
        <w:rPr>
          <w:rFonts w:cstheme="minorHAnsi"/>
          <w:bCs/>
        </w:rPr>
        <w:t xml:space="preserve"> Virtual Reality Goggles</w:t>
      </w:r>
      <w:r w:rsidRPr="00A81743">
        <w:rPr>
          <w:rFonts w:cstheme="minorHAnsi"/>
          <w:bCs/>
        </w:rPr>
        <w:t xml:space="preserve"> </w:t>
      </w:r>
      <w:r w:rsidR="00A70DD5">
        <w:rPr>
          <w:rFonts w:cstheme="minorHAnsi"/>
          <w:bCs/>
        </w:rPr>
        <w:t>(</w:t>
      </w:r>
      <w:r w:rsidR="00D60849">
        <w:rPr>
          <w:rFonts w:cstheme="minorHAnsi"/>
          <w:bCs/>
        </w:rPr>
        <w:t xml:space="preserve">Oculus </w:t>
      </w:r>
      <w:proofErr w:type="spellStart"/>
      <w:r w:rsidR="00D60849">
        <w:rPr>
          <w:rFonts w:cstheme="minorHAnsi"/>
          <w:bCs/>
        </w:rPr>
        <w:t>Inc</w:t>
      </w:r>
      <w:proofErr w:type="spellEnd"/>
      <w:r w:rsidR="00D60849">
        <w:rPr>
          <w:rFonts w:cstheme="minorHAnsi"/>
          <w:bCs/>
        </w:rPr>
        <w:t xml:space="preserve">, California, </w:t>
      </w:r>
      <w:proofErr w:type="gramStart"/>
      <w:r w:rsidR="00D60849">
        <w:rPr>
          <w:rFonts w:cstheme="minorHAnsi"/>
          <w:bCs/>
        </w:rPr>
        <w:t>USA</w:t>
      </w:r>
      <w:proofErr w:type="gramEnd"/>
      <w:r w:rsidR="00A70DD5">
        <w:rPr>
          <w:rFonts w:cstheme="minorHAnsi"/>
          <w:bCs/>
        </w:rPr>
        <w:t xml:space="preserve">) </w:t>
      </w:r>
      <w:r w:rsidRPr="00A81743">
        <w:rPr>
          <w:rFonts w:cstheme="minorHAnsi"/>
          <w:bCs/>
        </w:rPr>
        <w:t xml:space="preserve">as an </w:t>
      </w:r>
      <w:r w:rsidR="00B31247">
        <w:rPr>
          <w:rFonts w:cstheme="minorHAnsi"/>
          <w:bCs/>
        </w:rPr>
        <w:t>adjunct during</w:t>
      </w:r>
      <w:r w:rsidRPr="00A81743">
        <w:rPr>
          <w:rFonts w:cstheme="minorHAnsi"/>
          <w:bCs/>
        </w:rPr>
        <w:t xml:space="preserve"> joint surgery</w:t>
      </w:r>
      <w:r w:rsidR="00E3462B" w:rsidRPr="00A81743">
        <w:rPr>
          <w:rFonts w:cstheme="minorHAnsi"/>
          <w:bCs/>
        </w:rPr>
        <w:t xml:space="preserve"> under regional an</w:t>
      </w:r>
      <w:r w:rsidR="00950A1E">
        <w:rPr>
          <w:rFonts w:cstheme="minorHAnsi"/>
          <w:bCs/>
        </w:rPr>
        <w:t>e</w:t>
      </w:r>
      <w:r w:rsidR="00E3462B" w:rsidRPr="00A81743">
        <w:rPr>
          <w:rFonts w:cstheme="minorHAnsi"/>
          <w:bCs/>
        </w:rPr>
        <w:t>sthesia</w:t>
      </w:r>
      <w:r w:rsidR="007417FF">
        <w:rPr>
          <w:rFonts w:cstheme="minorHAnsi"/>
          <w:bCs/>
        </w:rPr>
        <w:t xml:space="preserve"> showed promise as a sedation sparing agent</w:t>
      </w:r>
      <w:r w:rsidR="00333B28">
        <w:rPr>
          <w:rFonts w:cstheme="minorHAnsi"/>
          <w:bCs/>
        </w:rPr>
        <w:t xml:space="preserve"> (6)</w:t>
      </w:r>
      <w:r w:rsidR="00A81743">
        <w:rPr>
          <w:rFonts w:cstheme="minorHAnsi"/>
          <w:bCs/>
        </w:rPr>
        <w:t xml:space="preserve">. This </w:t>
      </w:r>
      <w:r w:rsidR="00460762">
        <w:rPr>
          <w:rFonts w:cstheme="minorHAnsi"/>
          <w:bCs/>
        </w:rPr>
        <w:t xml:space="preserve">study </w:t>
      </w:r>
      <w:r w:rsidR="00A81743">
        <w:rPr>
          <w:rFonts w:cstheme="minorHAnsi"/>
          <w:bCs/>
        </w:rPr>
        <w:t xml:space="preserve">demonstrated a </w:t>
      </w:r>
      <w:r w:rsidR="00B31247">
        <w:rPr>
          <w:rFonts w:cstheme="minorHAnsi"/>
          <w:bCs/>
        </w:rPr>
        <w:t xml:space="preserve">statistically significant </w:t>
      </w:r>
      <w:r w:rsidR="00A81743">
        <w:rPr>
          <w:rFonts w:cstheme="minorHAnsi"/>
          <w:bCs/>
        </w:rPr>
        <w:t>reduction in</w:t>
      </w:r>
      <w:r w:rsidR="00B31247">
        <w:rPr>
          <w:rFonts w:cstheme="minorHAnsi"/>
          <w:bCs/>
        </w:rPr>
        <w:t xml:space="preserve"> sedation requirements, with </w:t>
      </w:r>
      <w:r w:rsidR="00A81743">
        <w:rPr>
          <w:rFonts w:cstheme="minorHAnsi"/>
          <w:bCs/>
        </w:rPr>
        <w:t>average</w:t>
      </w:r>
      <w:r w:rsidR="009B79BE">
        <w:rPr>
          <w:rFonts w:cstheme="minorHAnsi"/>
          <w:bCs/>
        </w:rPr>
        <w:t xml:space="preserve"> propofol</w:t>
      </w:r>
      <w:r w:rsidR="00A81743">
        <w:rPr>
          <w:rFonts w:cstheme="minorHAnsi"/>
          <w:bCs/>
        </w:rPr>
        <w:t xml:space="preserve"> </w:t>
      </w:r>
      <w:r w:rsidR="009B79BE">
        <w:rPr>
          <w:rFonts w:cstheme="minorHAnsi"/>
          <w:bCs/>
        </w:rPr>
        <w:t xml:space="preserve">use </w:t>
      </w:r>
      <w:r w:rsidR="00A81743">
        <w:rPr>
          <w:rFonts w:cstheme="minorHAnsi"/>
          <w:bCs/>
        </w:rPr>
        <w:t>of 155mg/hour</w:t>
      </w:r>
      <w:r w:rsidR="009B79BE">
        <w:rPr>
          <w:rFonts w:cstheme="minorHAnsi"/>
          <w:bCs/>
        </w:rPr>
        <w:t xml:space="preserve"> and 260mg average total use</w:t>
      </w:r>
      <w:r w:rsidR="00B31247">
        <w:rPr>
          <w:rFonts w:cstheme="minorHAnsi"/>
          <w:bCs/>
        </w:rPr>
        <w:t xml:space="preserve"> in non-</w:t>
      </w:r>
      <w:r w:rsidR="00A81743">
        <w:rPr>
          <w:rFonts w:cstheme="minorHAnsi"/>
          <w:bCs/>
        </w:rPr>
        <w:t>IVR patients</w:t>
      </w:r>
      <w:r w:rsidR="009B79BE">
        <w:rPr>
          <w:rFonts w:cstheme="minorHAnsi"/>
          <w:bCs/>
        </w:rPr>
        <w:t>,</w:t>
      </w:r>
      <w:r w:rsidR="00A81743">
        <w:rPr>
          <w:rFonts w:cstheme="minorHAnsi"/>
          <w:bCs/>
        </w:rPr>
        <w:t xml:space="preserve"> and</w:t>
      </w:r>
      <w:r w:rsidR="009B79BE">
        <w:rPr>
          <w:rFonts w:cstheme="minorHAnsi"/>
          <w:bCs/>
        </w:rPr>
        <w:t xml:space="preserve"> average</w:t>
      </w:r>
      <w:r w:rsidR="00A81743">
        <w:rPr>
          <w:rFonts w:cstheme="minorHAnsi"/>
          <w:bCs/>
        </w:rPr>
        <w:t xml:space="preserve"> 63 mg/hr</w:t>
      </w:r>
      <w:r w:rsidR="009B79BE">
        <w:rPr>
          <w:rFonts w:cstheme="minorHAnsi"/>
          <w:bCs/>
        </w:rPr>
        <w:t xml:space="preserve"> and 102mg average total use</w:t>
      </w:r>
      <w:r w:rsidR="00A81743">
        <w:rPr>
          <w:rFonts w:cstheme="minorHAnsi"/>
          <w:bCs/>
        </w:rPr>
        <w:t xml:space="preserve"> in IVR patients</w:t>
      </w:r>
      <w:r w:rsidR="00032D25">
        <w:rPr>
          <w:rFonts w:cstheme="minorHAnsi"/>
          <w:bCs/>
        </w:rPr>
        <w:t xml:space="preserve"> </w:t>
      </w:r>
      <w:r w:rsidR="00A81743">
        <w:rPr>
          <w:rFonts w:cstheme="minorHAnsi"/>
          <w:bCs/>
        </w:rPr>
        <w:t>(</w:t>
      </w:r>
      <w:r w:rsidR="00333B28">
        <w:rPr>
          <w:rFonts w:cstheme="minorHAnsi"/>
          <w:bCs/>
        </w:rPr>
        <w:t>6</w:t>
      </w:r>
      <w:r w:rsidR="00032D25">
        <w:rPr>
          <w:rFonts w:cstheme="minorHAnsi"/>
          <w:bCs/>
        </w:rPr>
        <w:t>)</w:t>
      </w:r>
      <w:r w:rsidR="00D65043">
        <w:rPr>
          <w:rFonts w:cstheme="minorHAnsi"/>
          <w:bCs/>
        </w:rPr>
        <w:t xml:space="preserve">. </w:t>
      </w:r>
      <w:r w:rsidR="00A81743">
        <w:rPr>
          <w:rFonts w:cstheme="minorHAnsi"/>
          <w:bCs/>
        </w:rPr>
        <w:t>T</w:t>
      </w:r>
      <w:r w:rsidR="00B31247">
        <w:rPr>
          <w:rFonts w:cstheme="minorHAnsi"/>
          <w:bCs/>
        </w:rPr>
        <w:t>hese findings were limited by</w:t>
      </w:r>
      <w:r w:rsidR="00A81743">
        <w:rPr>
          <w:rFonts w:cstheme="minorHAnsi"/>
          <w:bCs/>
        </w:rPr>
        <w:t xml:space="preserve"> small numbers </w:t>
      </w:r>
      <w:r w:rsidR="00A70DD5">
        <w:rPr>
          <w:rFonts w:cstheme="minorHAnsi"/>
          <w:bCs/>
        </w:rPr>
        <w:t xml:space="preserve">of </w:t>
      </w:r>
      <w:r w:rsidR="00460762">
        <w:rPr>
          <w:rFonts w:cstheme="minorHAnsi"/>
          <w:bCs/>
        </w:rPr>
        <w:t>participants</w:t>
      </w:r>
      <w:r w:rsidR="00B31247">
        <w:rPr>
          <w:rFonts w:cstheme="minorHAnsi"/>
          <w:bCs/>
        </w:rPr>
        <w:t>. Further,</w:t>
      </w:r>
      <w:r w:rsidR="00A81743">
        <w:rPr>
          <w:rFonts w:cstheme="minorHAnsi"/>
          <w:bCs/>
        </w:rPr>
        <w:t xml:space="preserve"> the absence of blinding</w:t>
      </w:r>
      <w:r w:rsidR="00A471D4">
        <w:rPr>
          <w:rFonts w:cstheme="minorHAnsi"/>
          <w:bCs/>
        </w:rPr>
        <w:t xml:space="preserve"> allow</w:t>
      </w:r>
      <w:r w:rsidR="00B31247">
        <w:rPr>
          <w:rFonts w:cstheme="minorHAnsi"/>
          <w:bCs/>
        </w:rPr>
        <w:t>ed</w:t>
      </w:r>
      <w:r w:rsidR="00A471D4">
        <w:rPr>
          <w:rFonts w:cstheme="minorHAnsi"/>
          <w:bCs/>
        </w:rPr>
        <w:t xml:space="preserve"> selection bias and</w:t>
      </w:r>
      <w:r w:rsidR="00A81743">
        <w:rPr>
          <w:rFonts w:cstheme="minorHAnsi"/>
          <w:bCs/>
        </w:rPr>
        <w:t xml:space="preserve"> creat</w:t>
      </w:r>
      <w:r w:rsidR="00B31247">
        <w:rPr>
          <w:rFonts w:cstheme="minorHAnsi"/>
          <w:bCs/>
        </w:rPr>
        <w:t>ed</w:t>
      </w:r>
      <w:r w:rsidR="00A81743">
        <w:rPr>
          <w:rFonts w:cstheme="minorHAnsi"/>
          <w:bCs/>
        </w:rPr>
        <w:t xml:space="preserve"> the potential for anesthesiologists to unwitti</w:t>
      </w:r>
      <w:r w:rsidR="00B31247">
        <w:rPr>
          <w:rFonts w:cstheme="minorHAnsi"/>
          <w:bCs/>
        </w:rPr>
        <w:t>ngly administer less propofol to</w:t>
      </w:r>
      <w:r w:rsidR="00A81743">
        <w:rPr>
          <w:rFonts w:cstheme="minorHAnsi"/>
          <w:bCs/>
        </w:rPr>
        <w:t xml:space="preserve"> the IVR group.</w:t>
      </w:r>
      <w:r w:rsidR="007229C0" w:rsidRPr="00A81743">
        <w:rPr>
          <w:rFonts w:cstheme="minorHAnsi"/>
          <w:bCs/>
        </w:rPr>
        <w:t xml:space="preserve"> </w:t>
      </w:r>
      <w:r w:rsidR="00AE52B9">
        <w:rPr>
          <w:rFonts w:cstheme="minorHAnsi"/>
          <w:bCs/>
        </w:rPr>
        <w:t>Nonetheless, the study demonstrated the potentia</w:t>
      </w:r>
      <w:r w:rsidR="00B31247">
        <w:rPr>
          <w:rFonts w:cstheme="minorHAnsi"/>
          <w:bCs/>
        </w:rPr>
        <w:t>l for a sedation sparing effect</w:t>
      </w:r>
      <w:r w:rsidR="00AE52B9">
        <w:rPr>
          <w:rFonts w:cstheme="minorHAnsi"/>
          <w:bCs/>
        </w:rPr>
        <w:t xml:space="preserve"> </w:t>
      </w:r>
      <w:r w:rsidR="00A471D4">
        <w:rPr>
          <w:rFonts w:cstheme="minorHAnsi"/>
          <w:bCs/>
        </w:rPr>
        <w:t>and provided</w:t>
      </w:r>
      <w:r w:rsidR="00516B5F">
        <w:rPr>
          <w:rFonts w:cstheme="minorHAnsi"/>
          <w:bCs/>
        </w:rPr>
        <w:t xml:space="preserve"> the basis for a larger, well</w:t>
      </w:r>
      <w:r w:rsidR="00AE52B9">
        <w:rPr>
          <w:rFonts w:cstheme="minorHAnsi"/>
          <w:bCs/>
        </w:rPr>
        <w:t xml:space="preserve"> </w:t>
      </w:r>
      <w:proofErr w:type="gramStart"/>
      <w:r w:rsidR="00AE52B9">
        <w:rPr>
          <w:rFonts w:cstheme="minorHAnsi"/>
          <w:bCs/>
        </w:rPr>
        <w:t>designed,</w:t>
      </w:r>
      <w:proofErr w:type="gramEnd"/>
      <w:r w:rsidR="00AE52B9">
        <w:rPr>
          <w:rFonts w:cstheme="minorHAnsi"/>
          <w:bCs/>
        </w:rPr>
        <w:t xml:space="preserve"> adequately powered study.</w:t>
      </w:r>
    </w:p>
    <w:p w14:paraId="48B3DA3B" w14:textId="77777777" w:rsidR="00D65043" w:rsidRDefault="00D65043" w:rsidP="00F23E7B">
      <w:pPr>
        <w:pStyle w:val="NoSpacing"/>
        <w:spacing w:line="360" w:lineRule="auto"/>
        <w:rPr>
          <w:rFonts w:cstheme="minorHAnsi"/>
          <w:bCs/>
        </w:rPr>
      </w:pPr>
    </w:p>
    <w:p w14:paraId="7871AED9" w14:textId="2C597490" w:rsidR="00D53931" w:rsidRDefault="002C1D1B" w:rsidP="00B31247">
      <w:pPr>
        <w:autoSpaceDE w:val="0"/>
        <w:autoSpaceDN w:val="0"/>
        <w:adjustRightInd w:val="0"/>
        <w:spacing w:after="0" w:line="360" w:lineRule="auto"/>
        <w:rPr>
          <w:rFonts w:cstheme="minorHAnsi"/>
          <w:bCs/>
        </w:rPr>
      </w:pPr>
      <w:r>
        <w:rPr>
          <w:rFonts w:cstheme="minorHAnsi"/>
          <w:bCs/>
        </w:rPr>
        <w:t>T</w:t>
      </w:r>
      <w:r w:rsidR="00D53931" w:rsidRPr="002120D4">
        <w:rPr>
          <w:rFonts w:cstheme="minorHAnsi"/>
          <w:bCs/>
        </w:rPr>
        <w:t xml:space="preserve">here have been </w:t>
      </w:r>
      <w:r>
        <w:rPr>
          <w:rFonts w:cstheme="minorHAnsi"/>
          <w:bCs/>
        </w:rPr>
        <w:t>several</w:t>
      </w:r>
      <w:r w:rsidR="00D53931" w:rsidRPr="002120D4">
        <w:rPr>
          <w:rFonts w:cstheme="minorHAnsi"/>
          <w:bCs/>
        </w:rPr>
        <w:t xml:space="preserve"> other </w:t>
      </w:r>
      <w:r>
        <w:rPr>
          <w:rFonts w:cstheme="minorHAnsi"/>
          <w:bCs/>
        </w:rPr>
        <w:t xml:space="preserve">studies </w:t>
      </w:r>
      <w:r w:rsidR="00A471D4">
        <w:rPr>
          <w:rFonts w:cstheme="minorHAnsi"/>
          <w:bCs/>
        </w:rPr>
        <w:t xml:space="preserve">that </w:t>
      </w:r>
      <w:r w:rsidR="00D53931" w:rsidRPr="002120D4">
        <w:rPr>
          <w:rFonts w:cstheme="minorHAnsi"/>
          <w:bCs/>
        </w:rPr>
        <w:t>demonstrat</w:t>
      </w:r>
      <w:r w:rsidR="00A471D4">
        <w:rPr>
          <w:rFonts w:cstheme="minorHAnsi"/>
          <w:bCs/>
        </w:rPr>
        <w:t>e</w:t>
      </w:r>
      <w:r w:rsidR="00D53931" w:rsidRPr="002120D4">
        <w:rPr>
          <w:rFonts w:cstheme="minorHAnsi"/>
          <w:bCs/>
        </w:rPr>
        <w:t xml:space="preserve"> a sedation or analgesic s</w:t>
      </w:r>
      <w:r w:rsidR="002120D4" w:rsidRPr="002120D4">
        <w:rPr>
          <w:rFonts w:cstheme="minorHAnsi"/>
          <w:bCs/>
        </w:rPr>
        <w:t xml:space="preserve">paring effect of </w:t>
      </w:r>
      <w:r w:rsidR="00F72755">
        <w:rPr>
          <w:rFonts w:cstheme="minorHAnsi"/>
          <w:bCs/>
        </w:rPr>
        <w:t>IVR</w:t>
      </w:r>
      <w:r w:rsidR="00F23E7B">
        <w:rPr>
          <w:rFonts w:cstheme="minorHAnsi"/>
          <w:bCs/>
        </w:rPr>
        <w:t xml:space="preserve"> </w:t>
      </w:r>
      <w:r w:rsidR="002120D4" w:rsidRPr="002120D4">
        <w:rPr>
          <w:rFonts w:cstheme="minorHAnsi"/>
          <w:bCs/>
        </w:rPr>
        <w:t>(7-1</w:t>
      </w:r>
      <w:r w:rsidR="002120D4">
        <w:rPr>
          <w:rFonts w:cstheme="minorHAnsi"/>
          <w:bCs/>
        </w:rPr>
        <w:t>1</w:t>
      </w:r>
      <w:r w:rsidR="00D53931" w:rsidRPr="002120D4">
        <w:rPr>
          <w:rFonts w:cstheme="minorHAnsi"/>
          <w:bCs/>
        </w:rPr>
        <w:t>). Further efforts have also been m</w:t>
      </w:r>
      <w:r w:rsidR="00A471D4">
        <w:rPr>
          <w:rFonts w:cstheme="minorHAnsi"/>
          <w:bCs/>
        </w:rPr>
        <w:t>ade to commercialize IVR</w:t>
      </w:r>
      <w:r w:rsidR="00D53931" w:rsidRPr="002120D4">
        <w:rPr>
          <w:rFonts w:cstheme="minorHAnsi"/>
          <w:bCs/>
        </w:rPr>
        <w:t>, with little hi</w:t>
      </w:r>
      <w:r w:rsidR="002120D4">
        <w:rPr>
          <w:rFonts w:cstheme="minorHAnsi"/>
          <w:bCs/>
        </w:rPr>
        <w:t>gh quality</w:t>
      </w:r>
      <w:r w:rsidR="00D53931" w:rsidRPr="002120D4">
        <w:rPr>
          <w:rFonts w:cstheme="minorHAnsi"/>
          <w:bCs/>
        </w:rPr>
        <w:t xml:space="preserve"> ev</w:t>
      </w:r>
      <w:r w:rsidR="002120D4">
        <w:rPr>
          <w:rFonts w:cstheme="minorHAnsi"/>
          <w:bCs/>
        </w:rPr>
        <w:t>idence of effectiveness (12). T</w:t>
      </w:r>
      <w:r w:rsidR="00960039">
        <w:rPr>
          <w:rFonts w:cstheme="minorHAnsi"/>
          <w:bCs/>
        </w:rPr>
        <w:t xml:space="preserve">hese </w:t>
      </w:r>
      <w:r w:rsidR="00A471D4">
        <w:rPr>
          <w:rFonts w:cstheme="minorHAnsi"/>
          <w:bCs/>
        </w:rPr>
        <w:t>projects</w:t>
      </w:r>
      <w:r w:rsidR="00D53931" w:rsidRPr="00F23E7B">
        <w:rPr>
          <w:rFonts w:cstheme="minorHAnsi"/>
          <w:bCs/>
        </w:rPr>
        <w:t xml:space="preserve"> suffer from the same limitations </w:t>
      </w:r>
      <w:r w:rsidR="002120D4" w:rsidRPr="00F23E7B">
        <w:rPr>
          <w:rFonts w:cstheme="minorHAnsi"/>
          <w:bCs/>
        </w:rPr>
        <w:t>(6)</w:t>
      </w:r>
      <w:r w:rsidR="00D53931" w:rsidRPr="00F23E7B">
        <w:rPr>
          <w:rFonts w:cstheme="minorHAnsi"/>
          <w:bCs/>
        </w:rPr>
        <w:t>, namely small numbers</w:t>
      </w:r>
      <w:r w:rsidR="00B31247">
        <w:rPr>
          <w:rFonts w:cstheme="minorHAnsi"/>
          <w:bCs/>
        </w:rPr>
        <w:t xml:space="preserve"> and a heterogeneous population</w:t>
      </w:r>
      <w:r w:rsidR="00D53931" w:rsidRPr="00F23E7B">
        <w:rPr>
          <w:rFonts w:cstheme="minorHAnsi"/>
          <w:bCs/>
        </w:rPr>
        <w:t xml:space="preserve">, poor blinding, and </w:t>
      </w:r>
      <w:r w:rsidR="00A471D4">
        <w:rPr>
          <w:rFonts w:cstheme="minorHAnsi"/>
          <w:bCs/>
        </w:rPr>
        <w:t>little</w:t>
      </w:r>
      <w:r w:rsidR="00B31247">
        <w:rPr>
          <w:rFonts w:cstheme="minorHAnsi"/>
          <w:bCs/>
        </w:rPr>
        <w:t xml:space="preserve"> bias</w:t>
      </w:r>
      <w:r w:rsidR="00A471D4">
        <w:rPr>
          <w:rFonts w:cstheme="minorHAnsi"/>
          <w:bCs/>
        </w:rPr>
        <w:t xml:space="preserve"> control</w:t>
      </w:r>
      <w:r w:rsidR="002120D4" w:rsidRPr="00F23E7B">
        <w:rPr>
          <w:rFonts w:cstheme="minorHAnsi"/>
          <w:bCs/>
        </w:rPr>
        <w:t xml:space="preserve"> (13</w:t>
      </w:r>
      <w:r w:rsidR="00D53931" w:rsidRPr="00F23E7B">
        <w:rPr>
          <w:rFonts w:cstheme="minorHAnsi"/>
          <w:bCs/>
        </w:rPr>
        <w:t>).</w:t>
      </w:r>
      <w:r w:rsidR="002120D4" w:rsidRPr="00F23E7B">
        <w:rPr>
          <w:rFonts w:cstheme="minorHAnsi"/>
          <w:bCs/>
        </w:rPr>
        <w:t xml:space="preserve"> </w:t>
      </w:r>
    </w:p>
    <w:p w14:paraId="7ED99226" w14:textId="77777777" w:rsidR="00B31247" w:rsidRPr="00F23E7B" w:rsidRDefault="00B31247" w:rsidP="00B31247">
      <w:pPr>
        <w:autoSpaceDE w:val="0"/>
        <w:autoSpaceDN w:val="0"/>
        <w:adjustRightInd w:val="0"/>
        <w:spacing w:after="0" w:line="360" w:lineRule="auto"/>
        <w:rPr>
          <w:rFonts w:cstheme="minorHAnsi"/>
          <w:bCs/>
        </w:rPr>
      </w:pPr>
    </w:p>
    <w:p w14:paraId="0FAC708A" w14:textId="24468E32" w:rsidR="00874304" w:rsidRDefault="00AE52B9" w:rsidP="00F23E7B">
      <w:pPr>
        <w:shd w:val="clear" w:color="auto" w:fill="FFFFFF"/>
        <w:spacing w:line="360" w:lineRule="auto"/>
        <w:rPr>
          <w:rFonts w:ascii="Arial" w:hAnsi="Arial" w:cs="Arial"/>
          <w:color w:val="000000"/>
        </w:rPr>
      </w:pPr>
      <w:r>
        <w:rPr>
          <w:rFonts w:cstheme="minorHAnsi"/>
          <w:bCs/>
        </w:rPr>
        <w:t>Patient controlled sedation</w:t>
      </w:r>
      <w:r w:rsidR="000B3A73">
        <w:rPr>
          <w:rFonts w:cstheme="minorHAnsi"/>
          <w:bCs/>
        </w:rPr>
        <w:t xml:space="preserve"> (PCS)</w:t>
      </w:r>
      <w:r>
        <w:rPr>
          <w:rFonts w:cstheme="minorHAnsi"/>
          <w:bCs/>
        </w:rPr>
        <w:t xml:space="preserve"> </w:t>
      </w:r>
      <w:r w:rsidR="002120D4">
        <w:rPr>
          <w:rFonts w:cstheme="minorHAnsi"/>
          <w:bCs/>
        </w:rPr>
        <w:t xml:space="preserve">has been </w:t>
      </w:r>
      <w:r w:rsidR="00960039">
        <w:rPr>
          <w:rFonts w:cstheme="minorHAnsi"/>
          <w:bCs/>
        </w:rPr>
        <w:t>reported</w:t>
      </w:r>
      <w:r w:rsidR="002120D4">
        <w:rPr>
          <w:rFonts w:cstheme="minorHAnsi"/>
          <w:bCs/>
        </w:rPr>
        <w:t xml:space="preserve"> as early as 2013</w:t>
      </w:r>
      <w:r w:rsidR="0054089A">
        <w:rPr>
          <w:rFonts w:cstheme="minorHAnsi"/>
          <w:bCs/>
        </w:rPr>
        <w:t xml:space="preserve"> to confer </w:t>
      </w:r>
      <w:r w:rsidR="009B79BE">
        <w:rPr>
          <w:rFonts w:cstheme="minorHAnsi"/>
          <w:bCs/>
        </w:rPr>
        <w:t>benefits</w:t>
      </w:r>
      <w:r w:rsidR="002120D4">
        <w:rPr>
          <w:rFonts w:cstheme="minorHAnsi"/>
          <w:bCs/>
        </w:rPr>
        <w:t xml:space="preserve"> during regional an</w:t>
      </w:r>
      <w:r w:rsidR="00950A1E">
        <w:rPr>
          <w:rFonts w:cstheme="minorHAnsi"/>
          <w:bCs/>
        </w:rPr>
        <w:t>e</w:t>
      </w:r>
      <w:r w:rsidR="002120D4">
        <w:rPr>
          <w:rFonts w:cstheme="minorHAnsi"/>
          <w:bCs/>
        </w:rPr>
        <w:t>sthesia (14</w:t>
      </w:r>
      <w:r w:rsidR="007417FF">
        <w:rPr>
          <w:rFonts w:cstheme="minorHAnsi"/>
          <w:bCs/>
        </w:rPr>
        <w:t>), specifically</w:t>
      </w:r>
      <w:r w:rsidR="009B79BE">
        <w:rPr>
          <w:rFonts w:cstheme="minorHAnsi"/>
          <w:bCs/>
        </w:rPr>
        <w:t xml:space="preserve"> allowing patients to control their own depth of sedation </w:t>
      </w:r>
      <w:r w:rsidR="007417FF">
        <w:rPr>
          <w:rFonts w:cstheme="minorHAnsi"/>
          <w:bCs/>
        </w:rPr>
        <w:t xml:space="preserve">to ensure comfort without </w:t>
      </w:r>
      <w:r w:rsidR="0054089A">
        <w:rPr>
          <w:rFonts w:cstheme="minorHAnsi"/>
          <w:bCs/>
        </w:rPr>
        <w:t>increasing</w:t>
      </w:r>
      <w:r w:rsidR="007417FF">
        <w:rPr>
          <w:rFonts w:cstheme="minorHAnsi"/>
          <w:bCs/>
        </w:rPr>
        <w:t xml:space="preserve"> </w:t>
      </w:r>
      <w:r w:rsidR="00B31247">
        <w:rPr>
          <w:rFonts w:cstheme="minorHAnsi"/>
          <w:bCs/>
        </w:rPr>
        <w:t>complications</w:t>
      </w:r>
      <w:r w:rsidR="007417FF">
        <w:rPr>
          <w:rFonts w:cstheme="minorHAnsi"/>
          <w:bCs/>
        </w:rPr>
        <w:t>.</w:t>
      </w:r>
      <w:r w:rsidR="009B79BE">
        <w:rPr>
          <w:rFonts w:cstheme="minorHAnsi"/>
          <w:bCs/>
        </w:rPr>
        <w:t xml:space="preserve"> </w:t>
      </w:r>
      <w:proofErr w:type="spellStart"/>
      <w:r w:rsidR="009B79BE">
        <w:rPr>
          <w:rFonts w:cstheme="minorHAnsi"/>
          <w:bCs/>
        </w:rPr>
        <w:t>Ekin</w:t>
      </w:r>
      <w:proofErr w:type="spellEnd"/>
      <w:r w:rsidR="009B79BE">
        <w:rPr>
          <w:rFonts w:cstheme="minorHAnsi"/>
          <w:bCs/>
        </w:rPr>
        <w:t xml:space="preserve"> et al</w:t>
      </w:r>
      <w:r w:rsidR="000B3A73">
        <w:rPr>
          <w:rFonts w:cstheme="minorHAnsi"/>
          <w:bCs/>
        </w:rPr>
        <w:t xml:space="preserve">. reported the successful use of </w:t>
      </w:r>
      <w:r w:rsidR="00F72755">
        <w:rPr>
          <w:rFonts w:cstheme="minorHAnsi"/>
          <w:bCs/>
        </w:rPr>
        <w:t>PCS</w:t>
      </w:r>
      <w:r w:rsidR="000B3A73">
        <w:rPr>
          <w:rFonts w:cstheme="minorHAnsi"/>
          <w:bCs/>
        </w:rPr>
        <w:t xml:space="preserve"> during joint </w:t>
      </w:r>
      <w:r w:rsidR="00460762">
        <w:rPr>
          <w:rFonts w:cstheme="minorHAnsi"/>
          <w:bCs/>
        </w:rPr>
        <w:t>replacement</w:t>
      </w:r>
      <w:r w:rsidR="000B3A73">
        <w:rPr>
          <w:rFonts w:cstheme="minorHAnsi"/>
          <w:bCs/>
        </w:rPr>
        <w:t xml:space="preserve"> surgery</w:t>
      </w:r>
      <w:r w:rsidR="00460762">
        <w:rPr>
          <w:rFonts w:cstheme="minorHAnsi"/>
          <w:bCs/>
        </w:rPr>
        <w:t xml:space="preserve"> </w:t>
      </w:r>
      <w:r w:rsidR="009B79BE">
        <w:rPr>
          <w:rFonts w:cstheme="minorHAnsi"/>
          <w:bCs/>
        </w:rPr>
        <w:t>using 400 mcg/</w:t>
      </w:r>
      <w:r w:rsidR="007417FF">
        <w:rPr>
          <w:rFonts w:cstheme="minorHAnsi"/>
          <w:bCs/>
        </w:rPr>
        <w:t xml:space="preserve">kg bolus and a 5 minute lockout, </w:t>
      </w:r>
      <w:r w:rsidR="0054089A">
        <w:rPr>
          <w:rFonts w:cstheme="minorHAnsi"/>
          <w:bCs/>
        </w:rPr>
        <w:t>demonstrating</w:t>
      </w:r>
      <w:r w:rsidR="009B79BE">
        <w:rPr>
          <w:rFonts w:cstheme="minorHAnsi"/>
          <w:bCs/>
        </w:rPr>
        <w:t xml:space="preserve"> a mean usage of 133</w:t>
      </w:r>
      <w:r w:rsidR="00827C44">
        <w:rPr>
          <w:rFonts w:cstheme="minorHAnsi"/>
          <w:bCs/>
        </w:rPr>
        <w:t xml:space="preserve"> </w:t>
      </w:r>
      <w:r w:rsidR="009B79BE">
        <w:rPr>
          <w:rFonts w:cstheme="minorHAnsi"/>
          <w:bCs/>
        </w:rPr>
        <w:t>mg</w:t>
      </w:r>
      <w:r w:rsidR="00460762">
        <w:rPr>
          <w:rFonts w:cstheme="minorHAnsi"/>
          <w:bCs/>
        </w:rPr>
        <w:t xml:space="preserve"> of propofol</w:t>
      </w:r>
      <w:r w:rsidR="00CA5A67">
        <w:rPr>
          <w:rFonts w:cstheme="minorHAnsi"/>
          <w:bCs/>
        </w:rPr>
        <w:t xml:space="preserve"> over the duration of a procedure in thirty patients</w:t>
      </w:r>
      <w:r w:rsidR="002120D4">
        <w:rPr>
          <w:rFonts w:cstheme="minorHAnsi"/>
          <w:bCs/>
        </w:rPr>
        <w:t>. (14</w:t>
      </w:r>
      <w:r w:rsidR="009B79BE">
        <w:t xml:space="preserve">). </w:t>
      </w:r>
      <w:r w:rsidR="002120D4">
        <w:t xml:space="preserve">A recent review </w:t>
      </w:r>
      <w:r w:rsidR="00874304">
        <w:t xml:space="preserve">demonstrated </w:t>
      </w:r>
      <w:r w:rsidR="000B3A73">
        <w:t xml:space="preserve">the </w:t>
      </w:r>
      <w:r w:rsidR="00874304">
        <w:t>safety and efficacy</w:t>
      </w:r>
      <w:r w:rsidR="002120D4">
        <w:t xml:space="preserve"> of PCS</w:t>
      </w:r>
      <w:r w:rsidR="00874304">
        <w:t xml:space="preserve">, </w:t>
      </w:r>
      <w:r w:rsidR="000B3A73">
        <w:t>with a</w:t>
      </w:r>
      <w:r w:rsidR="00874304">
        <w:t xml:space="preserve"> reduce</w:t>
      </w:r>
      <w:r w:rsidR="000B3A73">
        <w:t>d</w:t>
      </w:r>
      <w:r w:rsidR="00874304">
        <w:t xml:space="preserve"> the risk of rescue interventions for s</w:t>
      </w:r>
      <w:r w:rsidR="00F23E7B">
        <w:t>edation-related adverse events (15)</w:t>
      </w:r>
    </w:p>
    <w:p w14:paraId="799542FA" w14:textId="60934BC0" w:rsidR="008E4485" w:rsidRPr="00A81743" w:rsidRDefault="000960F1" w:rsidP="00F23E7B">
      <w:pPr>
        <w:pStyle w:val="NoSpacing"/>
        <w:spacing w:line="360" w:lineRule="auto"/>
        <w:rPr>
          <w:rFonts w:cstheme="minorHAnsi"/>
          <w:bCs/>
        </w:rPr>
      </w:pPr>
      <w:r w:rsidRPr="00A81743">
        <w:rPr>
          <w:rFonts w:cstheme="minorHAnsi"/>
          <w:bCs/>
        </w:rPr>
        <w:t>Th</w:t>
      </w:r>
      <w:r>
        <w:rPr>
          <w:rFonts w:cstheme="minorHAnsi"/>
          <w:bCs/>
        </w:rPr>
        <w:t xml:space="preserve">e </w:t>
      </w:r>
      <w:r w:rsidR="008D315B" w:rsidRPr="00A81743">
        <w:rPr>
          <w:rFonts w:cstheme="minorHAnsi"/>
          <w:bCs/>
        </w:rPr>
        <w:t>current study aim</w:t>
      </w:r>
      <w:r w:rsidR="00AE52B9">
        <w:rPr>
          <w:rFonts w:cstheme="minorHAnsi"/>
          <w:bCs/>
        </w:rPr>
        <w:t>ed</w:t>
      </w:r>
      <w:r w:rsidR="008D315B" w:rsidRPr="00A81743">
        <w:rPr>
          <w:rFonts w:cstheme="minorHAnsi"/>
          <w:bCs/>
        </w:rPr>
        <w:t xml:space="preserve"> to</w:t>
      </w:r>
      <w:r w:rsidR="0010542B" w:rsidRPr="00A81743">
        <w:rPr>
          <w:rFonts w:cstheme="minorHAnsi"/>
          <w:bCs/>
        </w:rPr>
        <w:t xml:space="preserve"> </w:t>
      </w:r>
      <w:r w:rsidR="00E3462B" w:rsidRPr="00A81743">
        <w:rPr>
          <w:rFonts w:cstheme="minorHAnsi"/>
          <w:bCs/>
        </w:rPr>
        <w:t xml:space="preserve">address </w:t>
      </w:r>
      <w:r w:rsidR="004D0C67" w:rsidRPr="00A81743">
        <w:rPr>
          <w:rFonts w:cstheme="minorHAnsi"/>
          <w:bCs/>
        </w:rPr>
        <w:t>the limitations</w:t>
      </w:r>
      <w:r w:rsidR="00257BF6">
        <w:rPr>
          <w:rFonts w:cstheme="minorHAnsi"/>
          <w:bCs/>
        </w:rPr>
        <w:t xml:space="preserve"> of recent studies</w:t>
      </w:r>
      <w:r w:rsidR="00D53931">
        <w:rPr>
          <w:rFonts w:cstheme="minorHAnsi"/>
          <w:bCs/>
        </w:rPr>
        <w:t>,</w:t>
      </w:r>
      <w:r w:rsidR="004D0C67" w:rsidRPr="00A81743">
        <w:rPr>
          <w:rFonts w:cstheme="minorHAnsi"/>
          <w:bCs/>
        </w:rPr>
        <w:t xml:space="preserve"> </w:t>
      </w:r>
      <w:r w:rsidR="00AE52B9">
        <w:rPr>
          <w:rFonts w:cstheme="minorHAnsi"/>
          <w:bCs/>
        </w:rPr>
        <w:t>and</w:t>
      </w:r>
      <w:r w:rsidR="004D0C67" w:rsidRPr="00A81743">
        <w:rPr>
          <w:rFonts w:cstheme="minorHAnsi"/>
          <w:bCs/>
        </w:rPr>
        <w:t xml:space="preserve"> better assess the potential sedation-sparing effect of </w:t>
      </w:r>
      <w:r w:rsidR="00F72755">
        <w:rPr>
          <w:rFonts w:cstheme="minorHAnsi"/>
          <w:bCs/>
        </w:rPr>
        <w:t>IVR</w:t>
      </w:r>
      <w:r w:rsidR="00A471D4">
        <w:rPr>
          <w:rFonts w:cstheme="minorHAnsi"/>
          <w:bCs/>
        </w:rPr>
        <w:t xml:space="preserve"> by combining it</w:t>
      </w:r>
      <w:r w:rsidR="00CA5A67">
        <w:rPr>
          <w:rFonts w:cstheme="minorHAnsi"/>
          <w:bCs/>
        </w:rPr>
        <w:t xml:space="preserve"> with </w:t>
      </w:r>
      <w:r w:rsidR="0097579B">
        <w:rPr>
          <w:rFonts w:cstheme="minorHAnsi"/>
          <w:bCs/>
        </w:rPr>
        <w:t>PCS</w:t>
      </w:r>
      <w:r w:rsidR="004D0C67" w:rsidRPr="00A81743">
        <w:rPr>
          <w:rFonts w:cstheme="minorHAnsi"/>
          <w:bCs/>
        </w:rPr>
        <w:t>.</w:t>
      </w:r>
      <w:r w:rsidR="00AE52B9">
        <w:rPr>
          <w:rFonts w:cstheme="minorHAnsi"/>
          <w:bCs/>
        </w:rPr>
        <w:t xml:space="preserve"> </w:t>
      </w:r>
      <w:r w:rsidR="00CA5A67">
        <w:rPr>
          <w:rFonts w:cstheme="minorHAnsi"/>
          <w:bCs/>
        </w:rPr>
        <w:t>Providing patients with control over sedation w</w:t>
      </w:r>
      <w:r w:rsidR="00B31247">
        <w:rPr>
          <w:rFonts w:cstheme="minorHAnsi"/>
          <w:bCs/>
        </w:rPr>
        <w:t xml:space="preserve">ould theoretically minimize </w:t>
      </w:r>
      <w:r w:rsidR="00EA14AC">
        <w:rPr>
          <w:rFonts w:cstheme="minorHAnsi"/>
          <w:bCs/>
        </w:rPr>
        <w:t xml:space="preserve">bias created by </w:t>
      </w:r>
      <w:proofErr w:type="spellStart"/>
      <w:r w:rsidR="00EA14AC">
        <w:rPr>
          <w:rFonts w:cstheme="minorHAnsi"/>
          <w:bCs/>
        </w:rPr>
        <w:t>A</w:t>
      </w:r>
      <w:r w:rsidR="00CA5A67">
        <w:rPr>
          <w:rFonts w:cstheme="minorHAnsi"/>
          <w:bCs/>
        </w:rPr>
        <w:t>nesthesiologist</w:t>
      </w:r>
      <w:proofErr w:type="spellEnd"/>
      <w:r w:rsidR="00CA5A67">
        <w:rPr>
          <w:rFonts w:cstheme="minorHAnsi"/>
          <w:bCs/>
        </w:rPr>
        <w:t xml:space="preserve"> initiated sedation. </w:t>
      </w:r>
      <w:r w:rsidR="005D696D" w:rsidRPr="00A81743">
        <w:rPr>
          <w:rFonts w:cstheme="minorHAnsi"/>
          <w:bCs/>
        </w:rPr>
        <w:t xml:space="preserve">It </w:t>
      </w:r>
      <w:r w:rsidR="009B79BE">
        <w:rPr>
          <w:rFonts w:cstheme="minorHAnsi"/>
          <w:bCs/>
        </w:rPr>
        <w:t>wa</w:t>
      </w:r>
      <w:r w:rsidR="005D696D" w:rsidRPr="00A81743">
        <w:rPr>
          <w:rFonts w:cstheme="minorHAnsi"/>
          <w:bCs/>
        </w:rPr>
        <w:t xml:space="preserve">s </w:t>
      </w:r>
      <w:r w:rsidRPr="00A81743">
        <w:rPr>
          <w:rFonts w:cstheme="minorHAnsi"/>
          <w:bCs/>
        </w:rPr>
        <w:t>hypothesi</w:t>
      </w:r>
      <w:r>
        <w:rPr>
          <w:rFonts w:cstheme="minorHAnsi"/>
          <w:bCs/>
        </w:rPr>
        <w:t>z</w:t>
      </w:r>
      <w:r w:rsidRPr="00A81743">
        <w:rPr>
          <w:rFonts w:cstheme="minorHAnsi"/>
          <w:bCs/>
        </w:rPr>
        <w:t xml:space="preserve">ed </w:t>
      </w:r>
      <w:r w:rsidR="005D696D" w:rsidRPr="00A81743">
        <w:rPr>
          <w:rFonts w:cstheme="minorHAnsi"/>
          <w:bCs/>
        </w:rPr>
        <w:t xml:space="preserve">that </w:t>
      </w:r>
      <w:r w:rsidR="00F72755">
        <w:rPr>
          <w:rFonts w:cstheme="minorHAnsi"/>
          <w:bCs/>
        </w:rPr>
        <w:t>IVR</w:t>
      </w:r>
      <w:r w:rsidR="005D696D" w:rsidRPr="00A81743">
        <w:rPr>
          <w:rFonts w:cstheme="minorHAnsi"/>
          <w:bCs/>
        </w:rPr>
        <w:t xml:space="preserve"> w</w:t>
      </w:r>
      <w:r w:rsidR="009B79BE">
        <w:rPr>
          <w:rFonts w:cstheme="minorHAnsi"/>
          <w:bCs/>
        </w:rPr>
        <w:t>ould</w:t>
      </w:r>
      <w:r w:rsidR="005D696D" w:rsidRPr="00A81743">
        <w:rPr>
          <w:rFonts w:cstheme="minorHAnsi"/>
          <w:bCs/>
        </w:rPr>
        <w:t xml:space="preserve"> reduce patient sedative requirement, lower patient anxiety and</w:t>
      </w:r>
      <w:r w:rsidR="009B79BE">
        <w:rPr>
          <w:rFonts w:cstheme="minorHAnsi"/>
          <w:bCs/>
        </w:rPr>
        <w:t xml:space="preserve"> maintain</w:t>
      </w:r>
      <w:r w:rsidR="005D696D" w:rsidRPr="00A81743">
        <w:rPr>
          <w:rFonts w:cstheme="minorHAnsi"/>
          <w:bCs/>
        </w:rPr>
        <w:t xml:space="preserve"> equivalent or greater </w:t>
      </w:r>
      <w:r w:rsidR="009B79BE">
        <w:rPr>
          <w:rFonts w:cstheme="minorHAnsi"/>
          <w:bCs/>
        </w:rPr>
        <w:t xml:space="preserve">patient </w:t>
      </w:r>
      <w:r w:rsidR="005D696D" w:rsidRPr="00A81743">
        <w:rPr>
          <w:rFonts w:cstheme="minorHAnsi"/>
          <w:bCs/>
        </w:rPr>
        <w:t>satisfaction.</w:t>
      </w:r>
    </w:p>
    <w:p w14:paraId="65A6B497" w14:textId="77777777" w:rsidR="008403DB" w:rsidRPr="00A81743" w:rsidRDefault="008403DB" w:rsidP="00F23E7B">
      <w:pPr>
        <w:pStyle w:val="NoSpacing"/>
        <w:spacing w:line="360" w:lineRule="auto"/>
        <w:rPr>
          <w:rFonts w:cstheme="minorHAnsi"/>
          <w:bCs/>
        </w:rPr>
      </w:pPr>
    </w:p>
    <w:p w14:paraId="15723A0F" w14:textId="6E37713F" w:rsidR="00515310" w:rsidRDefault="00515310" w:rsidP="00F23E7B">
      <w:pPr>
        <w:pStyle w:val="NoSpacing"/>
        <w:spacing w:line="360" w:lineRule="auto"/>
        <w:rPr>
          <w:rFonts w:cstheme="minorHAnsi"/>
          <w:b/>
        </w:rPr>
      </w:pPr>
      <w:r w:rsidRPr="00A81743">
        <w:rPr>
          <w:rFonts w:cstheme="minorHAnsi"/>
          <w:b/>
        </w:rPr>
        <w:t>Method</w:t>
      </w:r>
    </w:p>
    <w:p w14:paraId="0DCE0016" w14:textId="77777777" w:rsidR="00EA14AC" w:rsidRPr="00A81743" w:rsidRDefault="00EA14AC" w:rsidP="00F23E7B">
      <w:pPr>
        <w:pStyle w:val="NoSpacing"/>
        <w:spacing w:line="360" w:lineRule="auto"/>
        <w:rPr>
          <w:rFonts w:cstheme="minorHAnsi"/>
          <w:bCs/>
        </w:rPr>
      </w:pPr>
    </w:p>
    <w:p w14:paraId="377783A0" w14:textId="4E4B0D38" w:rsidR="000A0BFD" w:rsidRPr="00A81743" w:rsidRDefault="000A0BFD" w:rsidP="00F23E7B">
      <w:pPr>
        <w:pStyle w:val="NoSpacing"/>
        <w:spacing w:line="360" w:lineRule="auto"/>
        <w:rPr>
          <w:rFonts w:cstheme="minorHAnsi"/>
        </w:rPr>
      </w:pPr>
      <w:r w:rsidRPr="00A81743">
        <w:rPr>
          <w:rFonts w:cstheme="minorHAnsi"/>
        </w:rPr>
        <w:t>This study was a</w:t>
      </w:r>
      <w:r w:rsidR="00525A9C" w:rsidRPr="00A81743">
        <w:rPr>
          <w:rFonts w:cstheme="minorHAnsi"/>
        </w:rPr>
        <w:t xml:space="preserve"> prospective, randomized controlled trial</w:t>
      </w:r>
      <w:r w:rsidRPr="00A81743">
        <w:rPr>
          <w:rFonts w:cstheme="minorHAnsi"/>
        </w:rPr>
        <w:t xml:space="preserve"> conducted at St Vincent’</w:t>
      </w:r>
      <w:r w:rsidR="00132F22" w:rsidRPr="00A81743">
        <w:rPr>
          <w:rFonts w:cstheme="minorHAnsi"/>
        </w:rPr>
        <w:t>s Hospital</w:t>
      </w:r>
      <w:r w:rsidRPr="00A81743">
        <w:rPr>
          <w:rFonts w:cstheme="minorHAnsi"/>
        </w:rPr>
        <w:t xml:space="preserve"> Melbourne, Australia, and was approved by the St Vincent’s Hospita</w:t>
      </w:r>
      <w:r w:rsidR="009D4D1F">
        <w:rPr>
          <w:rFonts w:cstheme="minorHAnsi"/>
        </w:rPr>
        <w:t>l Research and Ethics Committee</w:t>
      </w:r>
      <w:r w:rsidR="00984260">
        <w:rPr>
          <w:rFonts w:cstheme="minorHAnsi"/>
        </w:rPr>
        <w:t xml:space="preserve"> (HREC Approval LRR 142/15)</w:t>
      </w:r>
      <w:r w:rsidR="009D4D1F">
        <w:rPr>
          <w:rFonts w:cstheme="minorHAnsi"/>
        </w:rPr>
        <w:t xml:space="preserve">. </w:t>
      </w:r>
      <w:r w:rsidRPr="00A81743">
        <w:rPr>
          <w:rFonts w:cstheme="minorHAnsi"/>
        </w:rPr>
        <w:t xml:space="preserve">Written and informed consent was obtained from all participants. This manuscript adheres to the Equator </w:t>
      </w:r>
      <w:r w:rsidRPr="00A81743">
        <w:rPr>
          <w:rFonts w:cstheme="minorHAnsi"/>
        </w:rPr>
        <w:lastRenderedPageBreak/>
        <w:t>guidelines of the Consolidated Standards of Reporting Trials (</w:t>
      </w:r>
      <w:r w:rsidR="000D2EAF">
        <w:rPr>
          <w:rFonts w:cstheme="minorHAnsi"/>
        </w:rPr>
        <w:t>16)</w:t>
      </w:r>
      <w:r w:rsidRPr="00A81743">
        <w:rPr>
          <w:rFonts w:cstheme="minorHAnsi"/>
        </w:rPr>
        <w:t xml:space="preserve">. </w:t>
      </w:r>
      <w:r w:rsidR="002F01E5">
        <w:rPr>
          <w:rFonts w:cstheme="minorHAnsi"/>
        </w:rPr>
        <w:t xml:space="preserve">The clinical trial was registered prior to patient enrolment, </w:t>
      </w:r>
    </w:p>
    <w:p w14:paraId="183CD315" w14:textId="77777777" w:rsidR="00EC4775" w:rsidRPr="00A81743" w:rsidRDefault="00EC4775" w:rsidP="00F23E7B">
      <w:pPr>
        <w:pStyle w:val="NoSpacing"/>
        <w:spacing w:line="360" w:lineRule="auto"/>
        <w:rPr>
          <w:rFonts w:cstheme="minorHAnsi"/>
        </w:rPr>
      </w:pPr>
    </w:p>
    <w:p w14:paraId="4D4C6D2B" w14:textId="644CD397" w:rsidR="00132F22" w:rsidRPr="00A81743" w:rsidRDefault="00E914D1" w:rsidP="00F23E7B">
      <w:pPr>
        <w:pStyle w:val="NoSpacing"/>
        <w:spacing w:line="360" w:lineRule="auto"/>
        <w:rPr>
          <w:rFonts w:cstheme="minorHAnsi"/>
        </w:rPr>
      </w:pPr>
      <w:r>
        <w:rPr>
          <w:rFonts w:cstheme="minorHAnsi"/>
        </w:rPr>
        <w:t xml:space="preserve">All </w:t>
      </w:r>
      <w:r w:rsidR="00460762">
        <w:rPr>
          <w:rFonts w:cstheme="minorHAnsi"/>
        </w:rPr>
        <w:t>p</w:t>
      </w:r>
      <w:r w:rsidR="0062179E" w:rsidRPr="00A81743">
        <w:rPr>
          <w:rFonts w:cstheme="minorHAnsi"/>
        </w:rPr>
        <w:t>atients</w:t>
      </w:r>
      <w:r w:rsidR="005865EA" w:rsidRPr="00A81743">
        <w:rPr>
          <w:rFonts w:cstheme="minorHAnsi"/>
        </w:rPr>
        <w:t xml:space="preserve"> </w:t>
      </w:r>
      <w:r w:rsidR="008A36DB" w:rsidRPr="00A81743">
        <w:rPr>
          <w:rFonts w:cstheme="minorHAnsi"/>
        </w:rPr>
        <w:t>undergoing</w:t>
      </w:r>
      <w:r w:rsidR="000B4C01" w:rsidRPr="00A81743">
        <w:rPr>
          <w:rFonts w:cstheme="minorHAnsi"/>
        </w:rPr>
        <w:t xml:space="preserve"> </w:t>
      </w:r>
      <w:r>
        <w:rPr>
          <w:rFonts w:cstheme="minorHAnsi"/>
        </w:rPr>
        <w:t xml:space="preserve">elective </w:t>
      </w:r>
      <w:r w:rsidR="00A471D4">
        <w:rPr>
          <w:rFonts w:cstheme="minorHAnsi"/>
        </w:rPr>
        <w:t>knee or</w:t>
      </w:r>
      <w:r w:rsidR="000B4C01" w:rsidRPr="00A81743">
        <w:rPr>
          <w:rFonts w:cstheme="minorHAnsi"/>
        </w:rPr>
        <w:t xml:space="preserve"> hip joint replacement</w:t>
      </w:r>
      <w:r w:rsidR="008A36DB" w:rsidRPr="00A81743">
        <w:rPr>
          <w:rFonts w:cstheme="minorHAnsi"/>
        </w:rPr>
        <w:t xml:space="preserve"> surgery under regional an</w:t>
      </w:r>
      <w:r w:rsidR="00950A1E">
        <w:rPr>
          <w:rFonts w:cstheme="minorHAnsi"/>
        </w:rPr>
        <w:t>e</w:t>
      </w:r>
      <w:r w:rsidR="008A36DB" w:rsidRPr="00A81743">
        <w:rPr>
          <w:rFonts w:cstheme="minorHAnsi"/>
        </w:rPr>
        <w:t>sthesia were eligible for enrolment</w:t>
      </w:r>
      <w:r w:rsidR="00132F22" w:rsidRPr="00A81743">
        <w:rPr>
          <w:rFonts w:cstheme="minorHAnsi"/>
        </w:rPr>
        <w:t xml:space="preserve">. </w:t>
      </w:r>
      <w:r w:rsidR="00CB049D" w:rsidRPr="00A81743">
        <w:rPr>
          <w:rFonts w:cstheme="minorHAnsi"/>
        </w:rPr>
        <w:t>Inclusion criteria were English-</w:t>
      </w:r>
      <w:r w:rsidR="00460762">
        <w:rPr>
          <w:rFonts w:cstheme="minorHAnsi"/>
        </w:rPr>
        <w:t>speaking patients 1</w:t>
      </w:r>
      <w:r w:rsidR="00CB049D" w:rsidRPr="00A81743">
        <w:rPr>
          <w:rFonts w:cstheme="minorHAnsi"/>
        </w:rPr>
        <w:t>8 years of age</w:t>
      </w:r>
      <w:r w:rsidR="008A36DB" w:rsidRPr="00A81743">
        <w:rPr>
          <w:rFonts w:cstheme="minorHAnsi"/>
        </w:rPr>
        <w:t xml:space="preserve"> with </w:t>
      </w:r>
      <w:r w:rsidR="00460762">
        <w:rPr>
          <w:rFonts w:cstheme="minorHAnsi"/>
        </w:rPr>
        <w:t xml:space="preserve">and over </w:t>
      </w:r>
      <w:r w:rsidR="008A36DB" w:rsidRPr="00A81743">
        <w:rPr>
          <w:rFonts w:cstheme="minorHAnsi"/>
        </w:rPr>
        <w:t>no significant cardiovascular or respiratory disease.</w:t>
      </w:r>
      <w:r w:rsidR="005865EA" w:rsidRPr="00A81743">
        <w:rPr>
          <w:rFonts w:cstheme="minorHAnsi"/>
        </w:rPr>
        <w:t xml:space="preserve"> Exclusion criteria </w:t>
      </w:r>
      <w:r w:rsidR="00CB049D" w:rsidRPr="00A81743">
        <w:rPr>
          <w:rFonts w:cstheme="minorHAnsi"/>
        </w:rPr>
        <w:t>were patients receiving general an</w:t>
      </w:r>
      <w:r w:rsidR="00950A1E">
        <w:rPr>
          <w:rFonts w:cstheme="minorHAnsi"/>
        </w:rPr>
        <w:t>e</w:t>
      </w:r>
      <w:r w:rsidR="00CB049D" w:rsidRPr="00A81743">
        <w:rPr>
          <w:rFonts w:cstheme="minorHAnsi"/>
        </w:rPr>
        <w:t>sthesia, cognitive impairment preventing the use of subjective outcome surveys, visual or hearing impairment and non-English speaking</w:t>
      </w:r>
      <w:r w:rsidR="00CA5A67">
        <w:rPr>
          <w:rFonts w:cstheme="minorHAnsi"/>
        </w:rPr>
        <w:t xml:space="preserve"> patients</w:t>
      </w:r>
      <w:r w:rsidR="00CB049D" w:rsidRPr="00A81743">
        <w:rPr>
          <w:rFonts w:cstheme="minorHAnsi"/>
        </w:rPr>
        <w:t>.</w:t>
      </w:r>
      <w:r w:rsidR="005865EA" w:rsidRPr="00A81743">
        <w:rPr>
          <w:rFonts w:cstheme="minorHAnsi"/>
        </w:rPr>
        <w:t xml:space="preserve"> </w:t>
      </w:r>
      <w:r w:rsidR="00FA74F2" w:rsidRPr="00A81743">
        <w:rPr>
          <w:rFonts w:cstheme="minorHAnsi"/>
        </w:rPr>
        <w:t xml:space="preserve">Enrolled </w:t>
      </w:r>
      <w:r w:rsidR="0062179E" w:rsidRPr="00A81743">
        <w:rPr>
          <w:rFonts w:cstheme="minorHAnsi"/>
        </w:rPr>
        <w:t>patients</w:t>
      </w:r>
      <w:r w:rsidR="00132F22" w:rsidRPr="00A81743">
        <w:rPr>
          <w:rFonts w:cstheme="minorHAnsi"/>
        </w:rPr>
        <w:t xml:space="preserve"> were randomized to the IVR or control group by </w:t>
      </w:r>
      <w:r>
        <w:rPr>
          <w:rFonts w:cstheme="minorHAnsi"/>
        </w:rPr>
        <w:t>computer generated</w:t>
      </w:r>
      <w:r w:rsidRPr="00A81743">
        <w:rPr>
          <w:rFonts w:cstheme="minorHAnsi"/>
        </w:rPr>
        <w:t xml:space="preserve"> </w:t>
      </w:r>
      <w:r w:rsidR="00132F22" w:rsidRPr="00A81743">
        <w:rPr>
          <w:rFonts w:cstheme="minorHAnsi"/>
        </w:rPr>
        <w:t>randomization, with the process blocked</w:t>
      </w:r>
      <w:r w:rsidR="00BF4909">
        <w:rPr>
          <w:rFonts w:cstheme="minorHAnsi"/>
        </w:rPr>
        <w:t xml:space="preserve"> every 5</w:t>
      </w:r>
      <w:r w:rsidR="00872B23">
        <w:rPr>
          <w:rFonts w:cstheme="minorHAnsi"/>
        </w:rPr>
        <w:t xml:space="preserve"> patients.</w:t>
      </w:r>
    </w:p>
    <w:p w14:paraId="6D0CE7DE" w14:textId="77777777" w:rsidR="00132F22" w:rsidRPr="00A81743" w:rsidRDefault="00132F22" w:rsidP="00F23E7B">
      <w:pPr>
        <w:pStyle w:val="NoSpacing"/>
        <w:spacing w:line="360" w:lineRule="auto"/>
        <w:rPr>
          <w:rFonts w:cstheme="minorHAnsi"/>
        </w:rPr>
      </w:pPr>
    </w:p>
    <w:p w14:paraId="567EDBBA" w14:textId="6295109B" w:rsidR="00EB3EF5" w:rsidRDefault="00E8764B" w:rsidP="00F23E7B">
      <w:pPr>
        <w:pStyle w:val="NoSpacing"/>
        <w:spacing w:line="360" w:lineRule="auto"/>
        <w:rPr>
          <w:rFonts w:cstheme="minorHAnsi"/>
        </w:rPr>
      </w:pPr>
      <w:r>
        <w:rPr>
          <w:rFonts w:cstheme="minorHAnsi"/>
        </w:rPr>
        <w:t>After insertion of an intravenous cannula and attachment</w:t>
      </w:r>
      <w:r w:rsidR="00C00FC9">
        <w:rPr>
          <w:rFonts w:cstheme="minorHAnsi"/>
        </w:rPr>
        <w:t xml:space="preserve"> </w:t>
      </w:r>
      <w:r>
        <w:rPr>
          <w:rFonts w:cstheme="minorHAnsi"/>
        </w:rPr>
        <w:t xml:space="preserve">of a crystalloid infusion, </w:t>
      </w:r>
      <w:r w:rsidR="00C00FC9">
        <w:rPr>
          <w:rFonts w:cstheme="minorHAnsi"/>
        </w:rPr>
        <w:t>r</w:t>
      </w:r>
      <w:r w:rsidR="000A5BB5" w:rsidRPr="00A81743">
        <w:rPr>
          <w:rFonts w:cstheme="minorHAnsi"/>
        </w:rPr>
        <w:t>egional an</w:t>
      </w:r>
      <w:r w:rsidR="00950A1E">
        <w:rPr>
          <w:rFonts w:cstheme="minorHAnsi"/>
        </w:rPr>
        <w:t>e</w:t>
      </w:r>
      <w:r w:rsidR="000A5BB5" w:rsidRPr="00A81743">
        <w:rPr>
          <w:rFonts w:cstheme="minorHAnsi"/>
        </w:rPr>
        <w:t>sthesia for all patients was pe</w:t>
      </w:r>
      <w:r w:rsidR="00872B23">
        <w:rPr>
          <w:rFonts w:cstheme="minorHAnsi"/>
        </w:rPr>
        <w:t xml:space="preserve">rformed by the </w:t>
      </w:r>
      <w:proofErr w:type="spellStart"/>
      <w:r w:rsidR="00872B23">
        <w:rPr>
          <w:rFonts w:cstheme="minorHAnsi"/>
        </w:rPr>
        <w:t>Anesthesiologist</w:t>
      </w:r>
      <w:proofErr w:type="spellEnd"/>
      <w:r w:rsidR="00872B23">
        <w:rPr>
          <w:rFonts w:cstheme="minorHAnsi"/>
        </w:rPr>
        <w:t>. Patients were positioned in the upright position</w:t>
      </w:r>
      <w:r w:rsidR="00E838F4">
        <w:rPr>
          <w:rFonts w:cstheme="minorHAnsi"/>
        </w:rPr>
        <w:t xml:space="preserve"> for spinal blocks and in the supine position for femoral and popliteal blocks</w:t>
      </w:r>
      <w:r w:rsidR="00872B23">
        <w:rPr>
          <w:rFonts w:cstheme="minorHAnsi"/>
        </w:rPr>
        <w:t xml:space="preserve">. After local anaesthetic with 1% </w:t>
      </w:r>
      <w:r w:rsidR="007E1F29">
        <w:rPr>
          <w:rFonts w:cstheme="minorHAnsi"/>
        </w:rPr>
        <w:t>l</w:t>
      </w:r>
      <w:r w:rsidR="00E66301">
        <w:rPr>
          <w:rFonts w:cstheme="minorHAnsi"/>
        </w:rPr>
        <w:t>ido</w:t>
      </w:r>
      <w:r w:rsidR="00872B23">
        <w:rPr>
          <w:rFonts w:cstheme="minorHAnsi"/>
        </w:rPr>
        <w:t xml:space="preserve">caine </w:t>
      </w:r>
      <w:r w:rsidR="00F86B7F">
        <w:rPr>
          <w:rFonts w:cstheme="minorHAnsi"/>
        </w:rPr>
        <w:t>at the L3</w:t>
      </w:r>
      <w:r w:rsidR="00872B23">
        <w:rPr>
          <w:rFonts w:cstheme="minorHAnsi"/>
        </w:rPr>
        <w:t>-L4 interspace, between 2.8 and 3.4</w:t>
      </w:r>
      <w:r w:rsidR="00827C44">
        <w:rPr>
          <w:rFonts w:cstheme="minorHAnsi"/>
        </w:rPr>
        <w:t xml:space="preserve"> </w:t>
      </w:r>
      <w:r w:rsidR="00872B23">
        <w:rPr>
          <w:rFonts w:cstheme="minorHAnsi"/>
        </w:rPr>
        <w:t xml:space="preserve">ml of </w:t>
      </w:r>
      <w:r w:rsidR="00EB3EF5">
        <w:rPr>
          <w:rFonts w:cstheme="minorHAnsi"/>
        </w:rPr>
        <w:t xml:space="preserve">0.5% Bupivacaine was injected into the subarachnoid space. For knee replacements, a popliteal nerve block </w:t>
      </w:r>
      <w:r w:rsidR="00F86B7F">
        <w:rPr>
          <w:rFonts w:cstheme="minorHAnsi"/>
        </w:rPr>
        <w:t xml:space="preserve">was administered using </w:t>
      </w:r>
      <w:r w:rsidR="007E1F29">
        <w:rPr>
          <w:rFonts w:cstheme="minorHAnsi"/>
        </w:rPr>
        <w:t xml:space="preserve">20ml of 0.2% </w:t>
      </w:r>
      <w:proofErr w:type="spellStart"/>
      <w:r w:rsidR="007E1F29">
        <w:rPr>
          <w:rFonts w:cstheme="minorHAnsi"/>
        </w:rPr>
        <w:t>r</w:t>
      </w:r>
      <w:r w:rsidR="00F86B7F">
        <w:rPr>
          <w:rFonts w:cstheme="minorHAnsi"/>
        </w:rPr>
        <w:t>opivicaine</w:t>
      </w:r>
      <w:proofErr w:type="spellEnd"/>
      <w:r w:rsidR="00F86B7F">
        <w:rPr>
          <w:rFonts w:cstheme="minorHAnsi"/>
        </w:rPr>
        <w:t xml:space="preserve"> </w:t>
      </w:r>
      <w:r w:rsidR="00EB3EF5">
        <w:rPr>
          <w:rFonts w:cstheme="minorHAnsi"/>
        </w:rPr>
        <w:t>and</w:t>
      </w:r>
      <w:r w:rsidR="00F86B7F">
        <w:rPr>
          <w:rFonts w:cstheme="minorHAnsi"/>
        </w:rPr>
        <w:t xml:space="preserve"> a</w:t>
      </w:r>
      <w:r w:rsidR="00EB3EF5">
        <w:rPr>
          <w:rFonts w:cstheme="minorHAnsi"/>
        </w:rPr>
        <w:t xml:space="preserve"> femoral nerve catheters were inserted, with the pa</w:t>
      </w:r>
      <w:r w:rsidR="007E1F29">
        <w:rPr>
          <w:rFonts w:cstheme="minorHAnsi"/>
        </w:rPr>
        <w:t xml:space="preserve">tient receiving 20ml of 0.375% </w:t>
      </w:r>
      <w:proofErr w:type="spellStart"/>
      <w:r w:rsidR="007E1F29">
        <w:rPr>
          <w:rFonts w:cstheme="minorHAnsi"/>
        </w:rPr>
        <w:t>r</w:t>
      </w:r>
      <w:r w:rsidR="00EB3EF5">
        <w:rPr>
          <w:rFonts w:cstheme="minorHAnsi"/>
        </w:rPr>
        <w:t>opivicaine</w:t>
      </w:r>
      <w:proofErr w:type="spellEnd"/>
      <w:r w:rsidR="00EB3EF5">
        <w:rPr>
          <w:rFonts w:cstheme="minorHAnsi"/>
        </w:rPr>
        <w:t>.</w:t>
      </w:r>
      <w:r w:rsidR="00EB3EF5" w:rsidRPr="00EB3EF5">
        <w:rPr>
          <w:rFonts w:cstheme="minorHAnsi"/>
        </w:rPr>
        <w:t xml:space="preserve"> </w:t>
      </w:r>
      <w:r w:rsidR="00EB3EF5">
        <w:rPr>
          <w:rFonts w:cstheme="minorHAnsi"/>
        </w:rPr>
        <w:t>Sensory and motor block was determined by pinprick and by attempting to elicit spontaneous movement of lower limbs.</w:t>
      </w:r>
    </w:p>
    <w:p w14:paraId="0D25AD13" w14:textId="77777777" w:rsidR="00E838F4" w:rsidRDefault="00E838F4" w:rsidP="00F23E7B">
      <w:pPr>
        <w:pStyle w:val="NoSpacing"/>
        <w:spacing w:line="360" w:lineRule="auto"/>
        <w:rPr>
          <w:rFonts w:cstheme="minorHAnsi"/>
        </w:rPr>
      </w:pPr>
    </w:p>
    <w:p w14:paraId="7628B2A5" w14:textId="3ADD9A83" w:rsidR="000A5BB5" w:rsidRPr="00A81743" w:rsidRDefault="000A5BB5" w:rsidP="00F23E7B">
      <w:pPr>
        <w:pStyle w:val="NoSpacing"/>
        <w:spacing w:line="360" w:lineRule="auto"/>
        <w:rPr>
          <w:rFonts w:cstheme="minorHAnsi"/>
        </w:rPr>
      </w:pPr>
      <w:r w:rsidRPr="00A81743">
        <w:rPr>
          <w:rFonts w:cstheme="minorHAnsi"/>
        </w:rPr>
        <w:t>At the discretion o</w:t>
      </w:r>
      <w:r w:rsidR="00B20F08" w:rsidRPr="00A81743">
        <w:rPr>
          <w:rFonts w:cstheme="minorHAnsi"/>
        </w:rPr>
        <w:t>f the An</w:t>
      </w:r>
      <w:r w:rsidRPr="00A81743">
        <w:rPr>
          <w:rFonts w:cstheme="minorHAnsi"/>
        </w:rPr>
        <w:t>esthesiologist, som</w:t>
      </w:r>
      <w:r w:rsidR="00872B23">
        <w:rPr>
          <w:rFonts w:cstheme="minorHAnsi"/>
        </w:rPr>
        <w:t xml:space="preserve">e patients also received either midazolam or fentanyl </w:t>
      </w:r>
      <w:r w:rsidRPr="00A81743">
        <w:rPr>
          <w:rFonts w:cstheme="minorHAnsi"/>
        </w:rPr>
        <w:t xml:space="preserve">in this pre-operative period, </w:t>
      </w:r>
      <w:r w:rsidR="006C11AD" w:rsidRPr="00A81743">
        <w:rPr>
          <w:rFonts w:cstheme="minorHAnsi"/>
        </w:rPr>
        <w:t>either to</w:t>
      </w:r>
      <w:r w:rsidRPr="00A81743">
        <w:rPr>
          <w:rFonts w:cstheme="minorHAnsi"/>
        </w:rPr>
        <w:t xml:space="preserve"> tolerate </w:t>
      </w:r>
      <w:r w:rsidR="006C11AD" w:rsidRPr="00A81743">
        <w:rPr>
          <w:rFonts w:cstheme="minorHAnsi"/>
        </w:rPr>
        <w:t>the an</w:t>
      </w:r>
      <w:r w:rsidR="00950A1E">
        <w:rPr>
          <w:rFonts w:cstheme="minorHAnsi"/>
        </w:rPr>
        <w:t>e</w:t>
      </w:r>
      <w:r w:rsidR="006C11AD" w:rsidRPr="00A81743">
        <w:rPr>
          <w:rFonts w:cstheme="minorHAnsi"/>
        </w:rPr>
        <w:t>sthetic procedure</w:t>
      </w:r>
      <w:r w:rsidRPr="00A81743">
        <w:rPr>
          <w:rFonts w:cstheme="minorHAnsi"/>
        </w:rPr>
        <w:t xml:space="preserve"> or to manage pre-operative anxiety. </w:t>
      </w:r>
      <w:r w:rsidR="00EB3EF5">
        <w:rPr>
          <w:rFonts w:cstheme="minorHAnsi"/>
        </w:rPr>
        <w:t xml:space="preserve">All patients received 5 minutely blood pressure, and continuous heart rate and oxygen saturation monitoring via a Philips </w:t>
      </w:r>
      <w:r w:rsidR="00D60849">
        <w:rPr>
          <w:rFonts w:cstheme="minorHAnsi"/>
        </w:rPr>
        <w:t xml:space="preserve">MX800 Monitor </w:t>
      </w:r>
      <w:r w:rsidR="00AB27ED">
        <w:rPr>
          <w:rFonts w:cstheme="minorHAnsi"/>
        </w:rPr>
        <w:t>(</w:t>
      </w:r>
      <w:proofErr w:type="spellStart"/>
      <w:r w:rsidR="00AB27ED">
        <w:rPr>
          <w:rFonts w:cstheme="minorHAnsi"/>
        </w:rPr>
        <w:t>Koninklijke</w:t>
      </w:r>
      <w:proofErr w:type="spellEnd"/>
      <w:r w:rsidR="00AB27ED">
        <w:rPr>
          <w:rFonts w:cstheme="minorHAnsi"/>
        </w:rPr>
        <w:t xml:space="preserve"> Philips, Netherlands) </w:t>
      </w:r>
      <w:r w:rsidR="00EB3EF5">
        <w:rPr>
          <w:rFonts w:cstheme="minorHAnsi"/>
        </w:rPr>
        <w:t xml:space="preserve">throughout before and during the procedure. </w:t>
      </w:r>
    </w:p>
    <w:p w14:paraId="4EEA2E2F" w14:textId="77777777" w:rsidR="008A36DB" w:rsidRPr="00A81743" w:rsidRDefault="008A36DB" w:rsidP="00F23E7B">
      <w:pPr>
        <w:pStyle w:val="NoSpacing"/>
        <w:spacing w:line="360" w:lineRule="auto"/>
        <w:rPr>
          <w:rFonts w:cstheme="minorHAnsi"/>
        </w:rPr>
      </w:pPr>
    </w:p>
    <w:p w14:paraId="60A8BAE1" w14:textId="4CF58B00" w:rsidR="00181575" w:rsidRPr="00A81743" w:rsidRDefault="00132F22" w:rsidP="00F23E7B">
      <w:pPr>
        <w:pStyle w:val="NoSpacing"/>
        <w:spacing w:line="360" w:lineRule="auto"/>
        <w:rPr>
          <w:rFonts w:cstheme="minorHAnsi"/>
        </w:rPr>
      </w:pPr>
      <w:r w:rsidRPr="00A81743">
        <w:rPr>
          <w:rFonts w:cstheme="minorHAnsi"/>
        </w:rPr>
        <w:t xml:space="preserve">The </w:t>
      </w:r>
      <w:r w:rsidR="004B3CEF" w:rsidRPr="00A81743">
        <w:rPr>
          <w:rFonts w:cstheme="minorHAnsi"/>
        </w:rPr>
        <w:t>I</w:t>
      </w:r>
      <w:r w:rsidRPr="00A81743">
        <w:rPr>
          <w:rFonts w:cstheme="minorHAnsi"/>
        </w:rPr>
        <w:t xml:space="preserve">VR group received </w:t>
      </w:r>
      <w:r w:rsidR="00F72755">
        <w:rPr>
          <w:rFonts w:cstheme="minorHAnsi"/>
        </w:rPr>
        <w:t>IVR</w:t>
      </w:r>
      <w:r w:rsidR="004B3CEF" w:rsidRPr="00A81743">
        <w:rPr>
          <w:rFonts w:cstheme="minorHAnsi"/>
        </w:rPr>
        <w:t xml:space="preserve"> </w:t>
      </w:r>
      <w:r w:rsidRPr="00A81743">
        <w:rPr>
          <w:rFonts w:cstheme="minorHAnsi"/>
        </w:rPr>
        <w:t xml:space="preserve">using </w:t>
      </w:r>
      <w:r w:rsidR="004B3CEF" w:rsidRPr="00A81743">
        <w:rPr>
          <w:rFonts w:cstheme="minorHAnsi"/>
        </w:rPr>
        <w:t>one of two available HMD setups including</w:t>
      </w:r>
      <w:r w:rsidRPr="00A81743">
        <w:rPr>
          <w:rFonts w:cstheme="minorHAnsi"/>
        </w:rPr>
        <w:t xml:space="preserve"> noise-cancelling headphones. The control group received no distraction and did not wear any HMD</w:t>
      </w:r>
      <w:r w:rsidR="004B3CEF" w:rsidRPr="00A81743">
        <w:rPr>
          <w:rFonts w:cstheme="minorHAnsi"/>
        </w:rPr>
        <w:t xml:space="preserve"> or headphones</w:t>
      </w:r>
      <w:r w:rsidRPr="00A81743">
        <w:rPr>
          <w:rFonts w:cstheme="minorHAnsi"/>
        </w:rPr>
        <w:t>.</w:t>
      </w:r>
      <w:r w:rsidR="004B3CEF" w:rsidRPr="00A81743">
        <w:rPr>
          <w:rFonts w:cstheme="minorHAnsi"/>
        </w:rPr>
        <w:t xml:space="preserve"> </w:t>
      </w:r>
      <w:r w:rsidR="00181575" w:rsidRPr="00A81743">
        <w:rPr>
          <w:rFonts w:cstheme="minorHAnsi"/>
        </w:rPr>
        <w:t>Both groups were able to control their intra-operative sedation using propofol via a patient-controlled sedation (PCS) button</w:t>
      </w:r>
      <w:r w:rsidR="00AB27ED">
        <w:rPr>
          <w:rFonts w:cstheme="minorHAnsi"/>
        </w:rPr>
        <w:t xml:space="preserve"> with an </w:t>
      </w:r>
      <w:proofErr w:type="spellStart"/>
      <w:r w:rsidR="00AB27ED">
        <w:rPr>
          <w:rFonts w:cstheme="minorHAnsi"/>
        </w:rPr>
        <w:t>Alaris</w:t>
      </w:r>
      <w:proofErr w:type="spellEnd"/>
      <w:r w:rsidR="00AB27ED">
        <w:rPr>
          <w:rFonts w:cstheme="minorHAnsi"/>
        </w:rPr>
        <w:t xml:space="preserve"> pump and PCA module (BD, Franklin Lakes, New Jersey, USA)</w:t>
      </w:r>
      <w:r w:rsidR="00181575" w:rsidRPr="00A81743">
        <w:rPr>
          <w:rFonts w:cstheme="minorHAnsi"/>
        </w:rPr>
        <w:t xml:space="preserve">, </w:t>
      </w:r>
      <w:r w:rsidR="008A36DB" w:rsidRPr="00A81743">
        <w:rPr>
          <w:rFonts w:cstheme="minorHAnsi"/>
        </w:rPr>
        <w:t>with instruction to use</w:t>
      </w:r>
      <w:r w:rsidR="00181575" w:rsidRPr="00A81743">
        <w:rPr>
          <w:rFonts w:cstheme="minorHAnsi"/>
        </w:rPr>
        <w:t xml:space="preserve"> it whenever they felt too aware or anxious. Each press of the PCS supplied a propofol bolus of 400</w:t>
      </w:r>
      <w:r w:rsidR="00CA5A67">
        <w:rPr>
          <w:rFonts w:cstheme="minorHAnsi"/>
        </w:rPr>
        <w:t>mcg</w:t>
      </w:r>
      <w:r w:rsidR="00EA14AC">
        <w:rPr>
          <w:rFonts w:cstheme="minorHAnsi"/>
        </w:rPr>
        <w:t>/kg</w:t>
      </w:r>
      <w:r w:rsidR="00181575" w:rsidRPr="00A81743">
        <w:rPr>
          <w:rFonts w:cstheme="minorHAnsi"/>
        </w:rPr>
        <w:t xml:space="preserve"> Ideal Body Weight with a 5 minute lockout period.  </w:t>
      </w:r>
      <w:r w:rsidR="00CA5A67">
        <w:rPr>
          <w:rFonts w:cstheme="minorHAnsi"/>
        </w:rPr>
        <w:t>To prevent unwanted hypotension doc</w:t>
      </w:r>
      <w:r w:rsidR="00F23E7B">
        <w:rPr>
          <w:rFonts w:cstheme="minorHAnsi"/>
        </w:rPr>
        <w:t>umented in previous studies (14</w:t>
      </w:r>
      <w:r w:rsidR="000B22A5">
        <w:rPr>
          <w:rFonts w:cstheme="minorHAnsi"/>
        </w:rPr>
        <w:t>) and on the advice from A</w:t>
      </w:r>
      <w:r w:rsidR="00CA5A67">
        <w:rPr>
          <w:rFonts w:cstheme="minorHAnsi"/>
        </w:rPr>
        <w:t>nesthe</w:t>
      </w:r>
      <w:r w:rsidR="00450EAB">
        <w:rPr>
          <w:rFonts w:cstheme="minorHAnsi"/>
        </w:rPr>
        <w:t>siologist</w:t>
      </w:r>
      <w:r w:rsidR="00CA5A67">
        <w:rPr>
          <w:rFonts w:cstheme="minorHAnsi"/>
        </w:rPr>
        <w:t>s reviewing the study protocol, a</w:t>
      </w:r>
      <w:r w:rsidR="00181575" w:rsidRPr="00A81743">
        <w:rPr>
          <w:rFonts w:cstheme="minorHAnsi"/>
        </w:rPr>
        <w:t>n upper limit of 3</w:t>
      </w:r>
      <w:r w:rsidR="00CA5A67">
        <w:rPr>
          <w:rFonts w:cstheme="minorHAnsi"/>
        </w:rPr>
        <w:t>0</w:t>
      </w:r>
      <w:r w:rsidR="00181575" w:rsidRPr="00A81743">
        <w:rPr>
          <w:rFonts w:cstheme="minorHAnsi"/>
        </w:rPr>
        <w:t xml:space="preserve">mg </w:t>
      </w:r>
      <w:r w:rsidR="00181575" w:rsidRPr="00A81743">
        <w:rPr>
          <w:rFonts w:eastAsia="PMingLiU" w:cstheme="minorHAnsi"/>
          <w:lang w:eastAsia="zh-HK"/>
        </w:rPr>
        <w:t xml:space="preserve">per </w:t>
      </w:r>
      <w:r w:rsidR="00181575" w:rsidRPr="00A81743">
        <w:rPr>
          <w:rFonts w:cstheme="minorHAnsi"/>
        </w:rPr>
        <w:t>bolus was put in place as an additional safeguard</w:t>
      </w:r>
      <w:r w:rsidR="00CA5A67">
        <w:rPr>
          <w:rFonts w:cstheme="minorHAnsi"/>
        </w:rPr>
        <w:t>.</w:t>
      </w:r>
      <w:r w:rsidR="00D65043">
        <w:rPr>
          <w:rFonts w:cstheme="minorHAnsi"/>
        </w:rPr>
        <w:t xml:space="preserve"> A</w:t>
      </w:r>
      <w:r w:rsidR="00181575" w:rsidRPr="00A81743">
        <w:rPr>
          <w:rFonts w:cstheme="minorHAnsi"/>
        </w:rPr>
        <w:t>n</w:t>
      </w:r>
      <w:r w:rsidR="00950A1E">
        <w:rPr>
          <w:rFonts w:cstheme="minorHAnsi"/>
        </w:rPr>
        <w:t>e</w:t>
      </w:r>
      <w:r w:rsidR="00181575" w:rsidRPr="00A81743">
        <w:rPr>
          <w:rFonts w:cstheme="minorHAnsi"/>
        </w:rPr>
        <w:t>sthesiologists were advised that PCS should be the primary form of sedation, but were not limited in giving additional sedation</w:t>
      </w:r>
      <w:r w:rsidR="006454B5">
        <w:rPr>
          <w:rFonts w:cstheme="minorHAnsi"/>
        </w:rPr>
        <w:t xml:space="preserve"> or analgesia</w:t>
      </w:r>
      <w:r w:rsidR="00181575" w:rsidRPr="00A81743">
        <w:rPr>
          <w:rFonts w:cstheme="minorHAnsi"/>
        </w:rPr>
        <w:t xml:space="preserve"> if required</w:t>
      </w:r>
      <w:r w:rsidR="00C00FC9">
        <w:rPr>
          <w:rFonts w:cstheme="minorHAnsi"/>
        </w:rPr>
        <w:t xml:space="preserve"> in their clinical judgement</w:t>
      </w:r>
      <w:r w:rsidR="008A36DB" w:rsidRPr="00A81743">
        <w:rPr>
          <w:rFonts w:cstheme="minorHAnsi"/>
        </w:rPr>
        <w:t>. PCS and IVR</w:t>
      </w:r>
      <w:r w:rsidR="00995D97">
        <w:rPr>
          <w:rFonts w:cstheme="minorHAnsi"/>
        </w:rPr>
        <w:t xml:space="preserve"> if allocated</w:t>
      </w:r>
      <w:r w:rsidR="008A36DB" w:rsidRPr="00A81743">
        <w:rPr>
          <w:rFonts w:cstheme="minorHAnsi"/>
        </w:rPr>
        <w:t xml:space="preserve"> were</w:t>
      </w:r>
      <w:r w:rsidR="004B3CEF" w:rsidRPr="00A81743">
        <w:rPr>
          <w:rFonts w:cstheme="minorHAnsi"/>
        </w:rPr>
        <w:t xml:space="preserve"> </w:t>
      </w:r>
      <w:r w:rsidR="00355FD1" w:rsidRPr="00A81743">
        <w:rPr>
          <w:rFonts w:cstheme="minorHAnsi"/>
        </w:rPr>
        <w:t>initiated</w:t>
      </w:r>
      <w:r w:rsidR="008A36DB" w:rsidRPr="00A81743">
        <w:rPr>
          <w:rFonts w:cstheme="minorHAnsi"/>
        </w:rPr>
        <w:t xml:space="preserve"> in the operating </w:t>
      </w:r>
      <w:r w:rsidR="00EF0365">
        <w:rPr>
          <w:rFonts w:cstheme="minorHAnsi"/>
        </w:rPr>
        <w:t xml:space="preserve">room </w:t>
      </w:r>
      <w:r w:rsidR="00355FD1" w:rsidRPr="00A81743">
        <w:rPr>
          <w:rFonts w:cstheme="minorHAnsi"/>
        </w:rPr>
        <w:t>following</w:t>
      </w:r>
      <w:r w:rsidR="004B3CEF" w:rsidRPr="00A81743">
        <w:rPr>
          <w:rFonts w:cstheme="minorHAnsi"/>
        </w:rPr>
        <w:t xml:space="preserve"> </w:t>
      </w:r>
      <w:r w:rsidR="00355FD1" w:rsidRPr="00A81743">
        <w:rPr>
          <w:rFonts w:cstheme="minorHAnsi"/>
        </w:rPr>
        <w:t xml:space="preserve">spinal </w:t>
      </w:r>
      <w:proofErr w:type="spellStart"/>
      <w:r w:rsidR="00355FD1" w:rsidRPr="00A81743">
        <w:rPr>
          <w:rFonts w:cstheme="minorHAnsi"/>
        </w:rPr>
        <w:t>an</w:t>
      </w:r>
      <w:r w:rsidR="00950A1E">
        <w:rPr>
          <w:rFonts w:cstheme="minorHAnsi"/>
        </w:rPr>
        <w:t>e</w:t>
      </w:r>
      <w:r w:rsidR="00355FD1" w:rsidRPr="00A81743">
        <w:rPr>
          <w:rFonts w:cstheme="minorHAnsi"/>
        </w:rPr>
        <w:t>sthetic</w:t>
      </w:r>
      <w:proofErr w:type="spellEnd"/>
      <w:r w:rsidR="00355FD1" w:rsidRPr="00A81743">
        <w:rPr>
          <w:rFonts w:cstheme="minorHAnsi"/>
        </w:rPr>
        <w:t xml:space="preserve">, transfer to operating table and patient positioning, but </w:t>
      </w:r>
      <w:r w:rsidR="008A36DB" w:rsidRPr="00A81743">
        <w:rPr>
          <w:rFonts w:cstheme="minorHAnsi"/>
        </w:rPr>
        <w:t>before</w:t>
      </w:r>
      <w:r w:rsidR="00181575" w:rsidRPr="00A81743">
        <w:rPr>
          <w:rFonts w:cstheme="minorHAnsi"/>
        </w:rPr>
        <w:t xml:space="preserve"> the beginning of the </w:t>
      </w:r>
      <w:r w:rsidR="00EF0365">
        <w:rPr>
          <w:rFonts w:cstheme="minorHAnsi"/>
        </w:rPr>
        <w:t>surgery.</w:t>
      </w:r>
      <w:r w:rsidR="00181575" w:rsidRPr="00A81743">
        <w:rPr>
          <w:rFonts w:cstheme="minorHAnsi"/>
        </w:rPr>
        <w:t xml:space="preserve"> </w:t>
      </w:r>
      <w:r w:rsidR="00EF0365" w:rsidRPr="00A81743">
        <w:rPr>
          <w:rFonts w:cstheme="minorHAnsi"/>
        </w:rPr>
        <w:t>PCS and IVR</w:t>
      </w:r>
      <w:r w:rsidR="00EF0365">
        <w:rPr>
          <w:rFonts w:cstheme="minorHAnsi"/>
        </w:rPr>
        <w:t xml:space="preserve"> were </w:t>
      </w:r>
      <w:r w:rsidR="004B3CEF" w:rsidRPr="00A81743">
        <w:rPr>
          <w:rFonts w:cstheme="minorHAnsi"/>
        </w:rPr>
        <w:t>ce</w:t>
      </w:r>
      <w:r w:rsidR="00181575" w:rsidRPr="00A81743">
        <w:rPr>
          <w:rFonts w:cstheme="minorHAnsi"/>
        </w:rPr>
        <w:t xml:space="preserve">ased </w:t>
      </w:r>
      <w:r w:rsidR="008A36DB" w:rsidRPr="00A81743">
        <w:rPr>
          <w:rFonts w:cstheme="minorHAnsi"/>
        </w:rPr>
        <w:t>once the procedure was complete.</w:t>
      </w:r>
    </w:p>
    <w:p w14:paraId="569E3D14" w14:textId="77777777" w:rsidR="00132F22" w:rsidRPr="00A81743" w:rsidRDefault="00132F22" w:rsidP="00F23E7B">
      <w:pPr>
        <w:pStyle w:val="NoSpacing"/>
        <w:spacing w:line="360" w:lineRule="auto"/>
        <w:rPr>
          <w:rFonts w:cstheme="minorHAnsi"/>
        </w:rPr>
      </w:pPr>
    </w:p>
    <w:p w14:paraId="0F9A09D3" w14:textId="4ECCCB11" w:rsidR="00132F22" w:rsidRPr="00A81743" w:rsidRDefault="00132F22" w:rsidP="00F23E7B">
      <w:pPr>
        <w:pStyle w:val="NoSpacing"/>
        <w:spacing w:line="360" w:lineRule="auto"/>
        <w:rPr>
          <w:rFonts w:cstheme="minorHAnsi"/>
        </w:rPr>
      </w:pPr>
      <w:r w:rsidRPr="00A81743">
        <w:rPr>
          <w:rFonts w:cstheme="minorHAnsi"/>
        </w:rPr>
        <w:t xml:space="preserve">The primary outcome was </w:t>
      </w:r>
      <w:r w:rsidR="009D4D1F">
        <w:rPr>
          <w:rFonts w:cstheme="minorHAnsi"/>
        </w:rPr>
        <w:t>the mean</w:t>
      </w:r>
      <w:r w:rsidR="00356B91" w:rsidRPr="00A81743">
        <w:rPr>
          <w:rFonts w:cstheme="minorHAnsi"/>
        </w:rPr>
        <w:t xml:space="preserve"> </w:t>
      </w:r>
      <w:r w:rsidRPr="00A81743">
        <w:rPr>
          <w:rFonts w:cstheme="minorHAnsi"/>
        </w:rPr>
        <w:t xml:space="preserve">intra-operative propofol use, </w:t>
      </w:r>
      <w:r w:rsidR="009120FC" w:rsidRPr="00A81743">
        <w:rPr>
          <w:rFonts w:cstheme="minorHAnsi"/>
        </w:rPr>
        <w:t>with</w:t>
      </w:r>
      <w:r w:rsidR="006454B5">
        <w:rPr>
          <w:rFonts w:cstheme="minorHAnsi"/>
        </w:rPr>
        <w:t xml:space="preserve"> the</w:t>
      </w:r>
      <w:r w:rsidR="009120FC" w:rsidRPr="00A81743">
        <w:rPr>
          <w:rFonts w:cstheme="minorHAnsi"/>
        </w:rPr>
        <w:t xml:space="preserve"> amount used and procedure duration </w:t>
      </w:r>
      <w:r w:rsidRPr="00A81743">
        <w:rPr>
          <w:rFonts w:cstheme="minorHAnsi"/>
        </w:rPr>
        <w:t xml:space="preserve">recorded from the PCS machine after surgery. </w:t>
      </w:r>
      <w:r w:rsidR="004E3350" w:rsidRPr="00A81743">
        <w:rPr>
          <w:rFonts w:cstheme="minorHAnsi"/>
        </w:rPr>
        <w:t>Secondary</w:t>
      </w:r>
      <w:r w:rsidRPr="00A81743">
        <w:rPr>
          <w:rFonts w:cstheme="minorHAnsi"/>
        </w:rPr>
        <w:t xml:space="preserve"> outc</w:t>
      </w:r>
      <w:r w:rsidR="004E3350" w:rsidRPr="00A81743">
        <w:rPr>
          <w:rFonts w:cstheme="minorHAnsi"/>
        </w:rPr>
        <w:t>ome</w:t>
      </w:r>
      <w:r w:rsidRPr="00A81743">
        <w:rPr>
          <w:rFonts w:cstheme="minorHAnsi"/>
        </w:rPr>
        <w:t xml:space="preserve"> measures included</w:t>
      </w:r>
      <w:r w:rsidR="009D4D1F">
        <w:rPr>
          <w:rFonts w:cstheme="minorHAnsi"/>
        </w:rPr>
        <w:t xml:space="preserve"> usage of propofol over </w:t>
      </w:r>
      <w:r w:rsidR="009D4D1F">
        <w:rPr>
          <w:rFonts w:cstheme="minorHAnsi"/>
        </w:rPr>
        <w:lastRenderedPageBreak/>
        <w:t xml:space="preserve">time, </w:t>
      </w:r>
      <w:r w:rsidR="00D53931">
        <w:rPr>
          <w:rFonts w:cstheme="minorHAnsi"/>
        </w:rPr>
        <w:t xml:space="preserve">the amount of adjuvant midazolam or fentanyl used before and during the case, the </w:t>
      </w:r>
      <w:r w:rsidR="009D4D1F">
        <w:rPr>
          <w:rFonts w:cstheme="minorHAnsi"/>
        </w:rPr>
        <w:t>overall unmet propofol demand, and postoperative patient satisfaction scores</w:t>
      </w:r>
      <w:r w:rsidRPr="00A81743">
        <w:rPr>
          <w:rFonts w:cstheme="minorHAnsi"/>
        </w:rPr>
        <w:t xml:space="preserve">. </w:t>
      </w:r>
    </w:p>
    <w:p w14:paraId="4D1C4698" w14:textId="77777777" w:rsidR="0092663F" w:rsidRPr="00A81743" w:rsidRDefault="0092663F" w:rsidP="00F23E7B">
      <w:pPr>
        <w:pStyle w:val="NoSpacing"/>
        <w:spacing w:line="360" w:lineRule="auto"/>
        <w:rPr>
          <w:rFonts w:cstheme="minorHAnsi"/>
        </w:rPr>
      </w:pPr>
    </w:p>
    <w:p w14:paraId="74B3E609" w14:textId="6D9D9637" w:rsidR="004A23A5" w:rsidRPr="00A81743" w:rsidRDefault="004A23A5" w:rsidP="00F23E7B">
      <w:pPr>
        <w:pStyle w:val="NoSpacing"/>
        <w:spacing w:line="360" w:lineRule="auto"/>
        <w:rPr>
          <w:rFonts w:cstheme="minorHAnsi"/>
        </w:rPr>
      </w:pPr>
      <w:r w:rsidRPr="00A81743">
        <w:rPr>
          <w:rFonts w:eastAsia="PMingLiU" w:cstheme="minorHAnsi"/>
          <w:lang w:eastAsia="zh-HK"/>
        </w:rPr>
        <w:t>Patient ex</w:t>
      </w:r>
      <w:r w:rsidR="00F23E7B">
        <w:rPr>
          <w:rFonts w:eastAsia="PMingLiU" w:cstheme="minorHAnsi"/>
          <w:lang w:eastAsia="zh-HK"/>
        </w:rPr>
        <w:t xml:space="preserve">perience was assessed using a modified </w:t>
      </w:r>
      <w:r w:rsidRPr="00A81743">
        <w:rPr>
          <w:rFonts w:eastAsia="PMingLiU" w:cstheme="minorHAnsi"/>
          <w:lang w:eastAsia="zh-HK"/>
        </w:rPr>
        <w:t>Quality of Recovery Survey (QoR-40)</w:t>
      </w:r>
      <w:r w:rsidR="005E2B6F">
        <w:rPr>
          <w:rFonts w:cstheme="minorHAnsi"/>
        </w:rPr>
        <w:t xml:space="preserve"> (1</w:t>
      </w:r>
      <w:r w:rsidR="000D2EAF">
        <w:rPr>
          <w:rFonts w:cstheme="minorHAnsi"/>
        </w:rPr>
        <w:t>7</w:t>
      </w:r>
      <w:r w:rsidR="005E2B6F">
        <w:rPr>
          <w:rFonts w:cstheme="minorHAnsi"/>
        </w:rPr>
        <w:t>)</w:t>
      </w:r>
      <w:r w:rsidRPr="00A81743">
        <w:rPr>
          <w:rFonts w:cstheme="minorHAnsi"/>
        </w:rPr>
        <w:t xml:space="preserve">. The QoR-40 includes questions regarding patient comfort, emotional state, symptoms and pain rated on a 1-5 scale, where 1 means “never” and 5 means “all the time”. A modified version of the QoR-40 was used (Appendix 1), and was employed before and after surgery. In addition, subjects were asked if they were satisfied with their experience, and if they would be willing to undergo future invasive surgeries using IVR. </w:t>
      </w:r>
    </w:p>
    <w:p w14:paraId="6673F431" w14:textId="77777777" w:rsidR="00132F22" w:rsidRPr="00A81743" w:rsidRDefault="00132F22" w:rsidP="00F23E7B">
      <w:pPr>
        <w:pStyle w:val="NoSpacing"/>
        <w:spacing w:line="360" w:lineRule="auto"/>
        <w:rPr>
          <w:rFonts w:cstheme="minorHAnsi"/>
        </w:rPr>
      </w:pPr>
    </w:p>
    <w:p w14:paraId="5B33BF26" w14:textId="3C0C2101" w:rsidR="00515310" w:rsidRPr="00A81743" w:rsidRDefault="00A16420" w:rsidP="00F23E7B">
      <w:pPr>
        <w:pStyle w:val="NoSpacing"/>
        <w:spacing w:line="360" w:lineRule="auto"/>
        <w:rPr>
          <w:rFonts w:cstheme="minorHAnsi"/>
          <w:b/>
        </w:rPr>
      </w:pPr>
      <w:r w:rsidRPr="00A81743">
        <w:rPr>
          <w:rFonts w:cstheme="minorHAnsi"/>
          <w:b/>
        </w:rPr>
        <w:t>IVR simulation used</w:t>
      </w:r>
    </w:p>
    <w:p w14:paraId="6B390844" w14:textId="1C393879" w:rsidR="0015644E" w:rsidRPr="00A81743" w:rsidRDefault="00505890" w:rsidP="00F23E7B">
      <w:pPr>
        <w:pStyle w:val="NoSpacing"/>
        <w:spacing w:line="360" w:lineRule="auto"/>
        <w:rPr>
          <w:rFonts w:cstheme="minorHAnsi"/>
        </w:rPr>
      </w:pPr>
      <w:r w:rsidRPr="00A81743">
        <w:rPr>
          <w:rFonts w:cstheme="minorHAnsi"/>
        </w:rPr>
        <w:t xml:space="preserve">The </w:t>
      </w:r>
      <w:r w:rsidR="00C04305">
        <w:rPr>
          <w:rFonts w:cstheme="minorHAnsi"/>
        </w:rPr>
        <w:t>IVR</w:t>
      </w:r>
      <w:r w:rsidRPr="00A81743">
        <w:rPr>
          <w:rFonts w:cstheme="minorHAnsi"/>
        </w:rPr>
        <w:t xml:space="preserve"> environment was</w:t>
      </w:r>
      <w:r w:rsidR="003B709E" w:rsidRPr="00A81743">
        <w:rPr>
          <w:rFonts w:cstheme="minorHAnsi"/>
        </w:rPr>
        <w:t xml:space="preserve"> provided by </w:t>
      </w:r>
      <w:r w:rsidR="00F677D3" w:rsidRPr="00A81743">
        <w:rPr>
          <w:rFonts w:cstheme="minorHAnsi"/>
        </w:rPr>
        <w:t>either a Samsung Gear VR HMD</w:t>
      </w:r>
      <w:r w:rsidR="00C04305">
        <w:rPr>
          <w:rFonts w:cstheme="minorHAnsi"/>
        </w:rPr>
        <w:t xml:space="preserve"> (</w:t>
      </w:r>
      <w:r w:rsidR="00AB27ED">
        <w:rPr>
          <w:rFonts w:cstheme="minorHAnsi"/>
        </w:rPr>
        <w:t>Samsung, Korea</w:t>
      </w:r>
      <w:r w:rsidR="00C04305">
        <w:rPr>
          <w:rFonts w:cstheme="minorHAnsi"/>
        </w:rPr>
        <w:t>)</w:t>
      </w:r>
      <w:r w:rsidR="00F677D3" w:rsidRPr="00A81743">
        <w:rPr>
          <w:rFonts w:cstheme="minorHAnsi"/>
        </w:rPr>
        <w:t xml:space="preserve"> or the</w:t>
      </w:r>
      <w:r w:rsidR="00EA14AC">
        <w:rPr>
          <w:rFonts w:cstheme="minorHAnsi"/>
        </w:rPr>
        <w:t xml:space="preserve"> Oculus Rift Development Kit 2</w:t>
      </w:r>
      <w:r w:rsidR="00F677D3" w:rsidRPr="00A81743">
        <w:rPr>
          <w:rFonts w:cstheme="minorHAnsi"/>
        </w:rPr>
        <w:t xml:space="preserve"> </w:t>
      </w:r>
      <w:r w:rsidR="00762891" w:rsidRPr="00A81743">
        <w:rPr>
          <w:rFonts w:cstheme="minorHAnsi"/>
        </w:rPr>
        <w:t xml:space="preserve">(Oculus </w:t>
      </w:r>
      <w:proofErr w:type="spellStart"/>
      <w:r w:rsidR="00762891" w:rsidRPr="00A81743">
        <w:rPr>
          <w:rFonts w:cstheme="minorHAnsi"/>
        </w:rPr>
        <w:t>Inc</w:t>
      </w:r>
      <w:proofErr w:type="spellEnd"/>
      <w:r w:rsidR="00762891" w:rsidRPr="00A81743">
        <w:rPr>
          <w:rFonts w:cstheme="minorHAnsi"/>
        </w:rPr>
        <w:t xml:space="preserve">, California USA) </w:t>
      </w:r>
      <w:r w:rsidR="00D5164D" w:rsidRPr="00A81743">
        <w:rPr>
          <w:rFonts w:cstheme="minorHAnsi"/>
        </w:rPr>
        <w:t>HMD</w:t>
      </w:r>
      <w:r w:rsidR="007F27F3">
        <w:rPr>
          <w:rFonts w:cstheme="minorHAnsi"/>
        </w:rPr>
        <w:t>s</w:t>
      </w:r>
      <w:r w:rsidR="00D5164D" w:rsidRPr="00A81743">
        <w:rPr>
          <w:rFonts w:cstheme="minorHAnsi"/>
        </w:rPr>
        <w:t>.</w:t>
      </w:r>
      <w:r w:rsidR="0001638D" w:rsidRPr="00A81743">
        <w:rPr>
          <w:rFonts w:cstheme="minorHAnsi"/>
        </w:rPr>
        <w:t xml:space="preserve"> Both HMDs feature a large field o</w:t>
      </w:r>
      <w:r w:rsidR="00A16420" w:rsidRPr="00A81743">
        <w:rPr>
          <w:rFonts w:cstheme="minorHAnsi"/>
        </w:rPr>
        <w:t>f view and high quality display;</w:t>
      </w:r>
      <w:r w:rsidR="0001638D" w:rsidRPr="00A81743">
        <w:rPr>
          <w:rFonts w:cstheme="minorHAnsi"/>
        </w:rPr>
        <w:t xml:space="preserve"> the Gear VR with a 96 degree field of view and 1280 </w:t>
      </w:r>
      <w:r w:rsidR="00A16420" w:rsidRPr="00A81743">
        <w:rPr>
          <w:rFonts w:cstheme="minorHAnsi"/>
        </w:rPr>
        <w:t>x 1440 pixel resolution per eye;</w:t>
      </w:r>
      <w:r w:rsidR="0029312A" w:rsidRPr="00A81743">
        <w:rPr>
          <w:rFonts w:cstheme="minorHAnsi"/>
        </w:rPr>
        <w:t xml:space="preserve"> </w:t>
      </w:r>
      <w:r w:rsidR="0001638D" w:rsidRPr="00A81743">
        <w:rPr>
          <w:rFonts w:cstheme="minorHAnsi"/>
        </w:rPr>
        <w:t xml:space="preserve">and the DK2 </w:t>
      </w:r>
      <w:r w:rsidR="0029312A" w:rsidRPr="00A81743">
        <w:rPr>
          <w:rFonts w:cstheme="minorHAnsi"/>
        </w:rPr>
        <w:t>with a 100 degree field of view and</w:t>
      </w:r>
      <w:r w:rsidR="0001638D" w:rsidRPr="00A81743">
        <w:rPr>
          <w:rFonts w:cstheme="minorHAnsi"/>
        </w:rPr>
        <w:t xml:space="preserve"> 960 x 1080 pixel resolution per eye. In addition</w:t>
      </w:r>
      <w:r w:rsidR="0029312A" w:rsidRPr="00A81743">
        <w:rPr>
          <w:rFonts w:cstheme="minorHAnsi"/>
        </w:rPr>
        <w:t xml:space="preserve">, both HMDs block the </w:t>
      </w:r>
      <w:r w:rsidR="007D20C7" w:rsidRPr="00A81743">
        <w:rPr>
          <w:rFonts w:cstheme="minorHAnsi"/>
        </w:rPr>
        <w:t xml:space="preserve">user’s view of their </w:t>
      </w:r>
      <w:r w:rsidR="0029312A" w:rsidRPr="00A81743">
        <w:rPr>
          <w:rFonts w:cstheme="minorHAnsi"/>
        </w:rPr>
        <w:t>immediate environment</w:t>
      </w:r>
      <w:r w:rsidR="00762891" w:rsidRPr="00A81743">
        <w:rPr>
          <w:rFonts w:cstheme="minorHAnsi"/>
        </w:rPr>
        <w:t>.</w:t>
      </w:r>
    </w:p>
    <w:p w14:paraId="05FF1563" w14:textId="77777777" w:rsidR="00AD5F02" w:rsidRPr="00A81743" w:rsidRDefault="00AD5F02" w:rsidP="00F23E7B">
      <w:pPr>
        <w:pStyle w:val="NoSpacing"/>
        <w:spacing w:line="360" w:lineRule="auto"/>
        <w:rPr>
          <w:rFonts w:cstheme="minorHAnsi"/>
        </w:rPr>
      </w:pPr>
    </w:p>
    <w:p w14:paraId="4BBA1B2F" w14:textId="25E30F6D" w:rsidR="00B2732F" w:rsidRPr="00A81743" w:rsidRDefault="00F677D3" w:rsidP="00F23E7B">
      <w:pPr>
        <w:pStyle w:val="NoSpacing"/>
        <w:spacing w:line="360" w:lineRule="auto"/>
        <w:rPr>
          <w:rFonts w:cstheme="minorHAnsi"/>
        </w:rPr>
      </w:pPr>
      <w:r w:rsidRPr="00A81743">
        <w:rPr>
          <w:rFonts w:cstheme="minorHAnsi"/>
        </w:rPr>
        <w:t xml:space="preserve">The Gear VR </w:t>
      </w:r>
      <w:r w:rsidR="00AD5F02" w:rsidRPr="00A81743">
        <w:rPr>
          <w:rFonts w:cstheme="minorHAnsi"/>
        </w:rPr>
        <w:t>setup</w:t>
      </w:r>
      <w:r w:rsidR="003B709E" w:rsidRPr="00A81743">
        <w:rPr>
          <w:rFonts w:cstheme="minorHAnsi"/>
        </w:rPr>
        <w:t xml:space="preserve"> was powered by a Samsung Galaxy S6 phone</w:t>
      </w:r>
      <w:r w:rsidR="00C04305">
        <w:rPr>
          <w:rFonts w:cstheme="minorHAnsi"/>
        </w:rPr>
        <w:t xml:space="preserve"> (Samsung, </w:t>
      </w:r>
      <w:r w:rsidR="00AB27ED">
        <w:rPr>
          <w:rFonts w:cstheme="minorHAnsi"/>
        </w:rPr>
        <w:t>Korea</w:t>
      </w:r>
      <w:r w:rsidR="00C04305">
        <w:rPr>
          <w:rFonts w:cstheme="minorHAnsi"/>
        </w:rPr>
        <w:t>)</w:t>
      </w:r>
      <w:r w:rsidR="00A10C5B" w:rsidRPr="00A81743">
        <w:rPr>
          <w:rFonts w:cstheme="minorHAnsi"/>
        </w:rPr>
        <w:t xml:space="preserve">, </w:t>
      </w:r>
      <w:r w:rsidR="004A23A5" w:rsidRPr="00A81743">
        <w:rPr>
          <w:rFonts w:cstheme="minorHAnsi"/>
        </w:rPr>
        <w:t xml:space="preserve">running </w:t>
      </w:r>
      <w:r w:rsidR="00A10C5B" w:rsidRPr="00A81743">
        <w:rPr>
          <w:rFonts w:cstheme="minorHAnsi"/>
        </w:rPr>
        <w:t xml:space="preserve">the freely available </w:t>
      </w:r>
      <w:r w:rsidR="002770F0" w:rsidRPr="00A81743">
        <w:rPr>
          <w:rFonts w:cstheme="minorHAnsi"/>
        </w:rPr>
        <w:t>I</w:t>
      </w:r>
      <w:r w:rsidR="00A10C5B" w:rsidRPr="00A81743">
        <w:rPr>
          <w:rFonts w:cstheme="minorHAnsi"/>
        </w:rPr>
        <w:t xml:space="preserve">VR software </w:t>
      </w:r>
      <w:proofErr w:type="spellStart"/>
      <w:r w:rsidR="003B709E" w:rsidRPr="00A81743">
        <w:rPr>
          <w:rFonts w:cstheme="minorHAnsi"/>
        </w:rPr>
        <w:t>EdenRiver</w:t>
      </w:r>
      <w:proofErr w:type="spellEnd"/>
      <w:r w:rsidR="009F6214" w:rsidRPr="00A81743">
        <w:rPr>
          <w:rFonts w:cstheme="minorHAnsi"/>
        </w:rPr>
        <w:t xml:space="preserve"> v1.0</w:t>
      </w:r>
      <w:r w:rsidR="003B709E" w:rsidRPr="00A81743">
        <w:rPr>
          <w:rFonts w:cstheme="minorHAnsi"/>
        </w:rPr>
        <w:t xml:space="preserve"> by </w:t>
      </w:r>
      <w:proofErr w:type="spellStart"/>
      <w:r w:rsidR="003B709E" w:rsidRPr="00A81743">
        <w:rPr>
          <w:rFonts w:cstheme="minorHAnsi"/>
        </w:rPr>
        <w:t>Unello</w:t>
      </w:r>
      <w:proofErr w:type="spellEnd"/>
      <w:r w:rsidR="003B709E" w:rsidRPr="00A81743">
        <w:rPr>
          <w:rFonts w:cstheme="minorHAnsi"/>
        </w:rPr>
        <w:t xml:space="preserve"> Design</w:t>
      </w:r>
      <w:r w:rsidR="00C04305">
        <w:rPr>
          <w:rFonts w:cstheme="minorHAnsi"/>
        </w:rPr>
        <w:t xml:space="preserve"> (</w:t>
      </w:r>
      <w:proofErr w:type="spellStart"/>
      <w:r w:rsidR="00AB27ED">
        <w:rPr>
          <w:rFonts w:cstheme="minorHAnsi"/>
        </w:rPr>
        <w:t>Unello</w:t>
      </w:r>
      <w:proofErr w:type="spellEnd"/>
      <w:r w:rsidR="00AB27ED">
        <w:rPr>
          <w:rFonts w:cstheme="minorHAnsi"/>
        </w:rPr>
        <w:t xml:space="preserve"> Design, Texas, USA</w:t>
      </w:r>
      <w:r w:rsidR="00C04305">
        <w:rPr>
          <w:rFonts w:cstheme="minorHAnsi"/>
        </w:rPr>
        <w:t>)</w:t>
      </w:r>
      <w:r w:rsidR="004A23A5" w:rsidRPr="00A81743">
        <w:rPr>
          <w:rFonts w:cstheme="minorHAnsi"/>
        </w:rPr>
        <w:t xml:space="preserve">. </w:t>
      </w:r>
      <w:r w:rsidR="00FE6232" w:rsidRPr="00A81743">
        <w:rPr>
          <w:rFonts w:cstheme="minorHAnsi"/>
        </w:rPr>
        <w:t xml:space="preserve">This software allowed subjects to float along a </w:t>
      </w:r>
      <w:r w:rsidR="00C65CB4">
        <w:rPr>
          <w:rFonts w:cstheme="minorHAnsi"/>
        </w:rPr>
        <w:t>procedurally generated</w:t>
      </w:r>
      <w:r w:rsidR="004A23A5" w:rsidRPr="00A81743">
        <w:rPr>
          <w:rFonts w:cstheme="minorHAnsi"/>
        </w:rPr>
        <w:t xml:space="preserve"> </w:t>
      </w:r>
      <w:r w:rsidR="00FE6232" w:rsidRPr="00A81743">
        <w:rPr>
          <w:rFonts w:cstheme="minorHAnsi"/>
        </w:rPr>
        <w:t>three-dimensional river</w:t>
      </w:r>
      <w:r w:rsidR="00C65CB4">
        <w:rPr>
          <w:rFonts w:cstheme="minorHAnsi"/>
        </w:rPr>
        <w:t>.</w:t>
      </w:r>
      <w:r w:rsidR="0077487F">
        <w:rPr>
          <w:rFonts w:cstheme="minorHAnsi"/>
        </w:rPr>
        <w:t xml:space="preserve"> </w:t>
      </w:r>
      <w:r w:rsidR="002E25F5" w:rsidRPr="00A81743">
        <w:rPr>
          <w:rFonts w:cstheme="minorHAnsi"/>
        </w:rPr>
        <w:t>The DK2 setup was powered by an MSI GS60-2QE gaming laptop</w:t>
      </w:r>
      <w:r w:rsidR="004A23A5" w:rsidRPr="00A81743">
        <w:rPr>
          <w:rFonts w:cstheme="minorHAnsi"/>
        </w:rPr>
        <w:t xml:space="preserve"> </w:t>
      </w:r>
      <w:r w:rsidR="00827C44">
        <w:rPr>
          <w:rFonts w:cstheme="minorHAnsi"/>
        </w:rPr>
        <w:t xml:space="preserve">(MSI </w:t>
      </w:r>
      <w:proofErr w:type="spellStart"/>
      <w:r w:rsidR="00827C44">
        <w:rPr>
          <w:rFonts w:cstheme="minorHAnsi"/>
        </w:rPr>
        <w:t>Inc</w:t>
      </w:r>
      <w:proofErr w:type="spellEnd"/>
      <w:r w:rsidR="00827C44">
        <w:rPr>
          <w:rFonts w:cstheme="minorHAnsi"/>
        </w:rPr>
        <w:t xml:space="preserve">, Taiwan) </w:t>
      </w:r>
      <w:r w:rsidR="004A23A5" w:rsidRPr="00A81743">
        <w:rPr>
          <w:rFonts w:cstheme="minorHAnsi"/>
        </w:rPr>
        <w:t xml:space="preserve">running </w:t>
      </w:r>
      <w:r w:rsidR="00476788" w:rsidRPr="00A81743">
        <w:rPr>
          <w:rFonts w:cstheme="minorHAnsi"/>
        </w:rPr>
        <w:t>a custom-designed version of the</w:t>
      </w:r>
      <w:r w:rsidR="002E25F5" w:rsidRPr="00A81743">
        <w:rPr>
          <w:rFonts w:cstheme="minorHAnsi"/>
        </w:rPr>
        <w:t xml:space="preserve"> software </w:t>
      </w:r>
      <w:r w:rsidR="00C65CB4">
        <w:rPr>
          <w:rFonts w:cstheme="minorHAnsi"/>
        </w:rPr>
        <w:t>“</w:t>
      </w:r>
      <w:r w:rsidR="002E25F5" w:rsidRPr="00A81743">
        <w:rPr>
          <w:rFonts w:cstheme="minorHAnsi"/>
        </w:rPr>
        <w:t>Iceland</w:t>
      </w:r>
      <w:r w:rsidR="00C65CB4">
        <w:rPr>
          <w:rFonts w:cstheme="minorHAnsi"/>
        </w:rPr>
        <w:t>”</w:t>
      </w:r>
      <w:r w:rsidR="00B10980" w:rsidRPr="00A81743">
        <w:rPr>
          <w:rFonts w:cstheme="minorHAnsi"/>
        </w:rPr>
        <w:t xml:space="preserve"> </w:t>
      </w:r>
      <w:r w:rsidR="002E25F5" w:rsidRPr="00A81743">
        <w:rPr>
          <w:rFonts w:cstheme="minorHAnsi"/>
        </w:rPr>
        <w:t xml:space="preserve">by </w:t>
      </w:r>
      <w:proofErr w:type="spellStart"/>
      <w:r w:rsidR="00B10980" w:rsidRPr="00A81743">
        <w:rPr>
          <w:rFonts w:cstheme="minorHAnsi"/>
        </w:rPr>
        <w:t>Gert</w:t>
      </w:r>
      <w:proofErr w:type="spellEnd"/>
      <w:r w:rsidR="00B10980" w:rsidRPr="00A81743">
        <w:rPr>
          <w:rFonts w:cstheme="minorHAnsi"/>
        </w:rPr>
        <w:t xml:space="preserve">-Jan </w:t>
      </w:r>
      <w:proofErr w:type="spellStart"/>
      <w:r w:rsidR="00B10980" w:rsidRPr="00A81743">
        <w:rPr>
          <w:rFonts w:cstheme="minorHAnsi"/>
        </w:rPr>
        <w:t>Werburg</w:t>
      </w:r>
      <w:proofErr w:type="spellEnd"/>
      <w:r w:rsidR="00B10980" w:rsidRPr="00A81743">
        <w:rPr>
          <w:rFonts w:cstheme="minorHAnsi"/>
        </w:rPr>
        <w:t xml:space="preserve"> at </w:t>
      </w:r>
      <w:proofErr w:type="spellStart"/>
      <w:r w:rsidR="002E25F5" w:rsidRPr="00A81743">
        <w:rPr>
          <w:rFonts w:cstheme="minorHAnsi"/>
        </w:rPr>
        <w:t>VergeVR</w:t>
      </w:r>
      <w:proofErr w:type="spellEnd"/>
      <w:r w:rsidR="002E25F5" w:rsidRPr="00A81743">
        <w:rPr>
          <w:rFonts w:cstheme="minorHAnsi"/>
        </w:rPr>
        <w:t xml:space="preserve"> </w:t>
      </w:r>
      <w:proofErr w:type="spellStart"/>
      <w:r w:rsidR="002E25F5" w:rsidRPr="00A81743">
        <w:rPr>
          <w:rFonts w:cstheme="minorHAnsi"/>
        </w:rPr>
        <w:t>In</w:t>
      </w:r>
      <w:r w:rsidR="00FF522C" w:rsidRPr="00A81743">
        <w:rPr>
          <w:rFonts w:cstheme="minorHAnsi"/>
        </w:rPr>
        <w:t>c</w:t>
      </w:r>
      <w:proofErr w:type="spellEnd"/>
      <w:r w:rsidR="00F23E7B">
        <w:rPr>
          <w:rFonts w:cstheme="minorHAnsi"/>
        </w:rPr>
        <w:t xml:space="preserve"> </w:t>
      </w:r>
      <w:r w:rsidR="00C04305">
        <w:rPr>
          <w:rFonts w:cstheme="minorHAnsi"/>
        </w:rPr>
        <w:t xml:space="preserve"> (</w:t>
      </w:r>
      <w:proofErr w:type="spellStart"/>
      <w:r w:rsidR="00AB27ED">
        <w:rPr>
          <w:rFonts w:cstheme="minorHAnsi"/>
        </w:rPr>
        <w:t>VergeVR</w:t>
      </w:r>
      <w:proofErr w:type="spellEnd"/>
      <w:r w:rsidR="00AB27ED">
        <w:rPr>
          <w:rFonts w:cstheme="minorHAnsi"/>
        </w:rPr>
        <w:t xml:space="preserve">, Netherlands) </w:t>
      </w:r>
      <w:r w:rsidR="000D2EAF">
        <w:rPr>
          <w:rFonts w:cstheme="minorHAnsi"/>
        </w:rPr>
        <w:t>(18</w:t>
      </w:r>
      <w:r w:rsidR="009D4D1F">
        <w:rPr>
          <w:rFonts w:cstheme="minorHAnsi"/>
        </w:rPr>
        <w:t>)</w:t>
      </w:r>
      <w:r w:rsidR="004A23A5" w:rsidRPr="00A81743">
        <w:rPr>
          <w:rFonts w:cstheme="minorHAnsi"/>
        </w:rPr>
        <w:t xml:space="preserve">. </w:t>
      </w:r>
      <w:r w:rsidR="00B2732F" w:rsidRPr="00A81743">
        <w:rPr>
          <w:rFonts w:cstheme="minorHAnsi"/>
        </w:rPr>
        <w:t xml:space="preserve">This software </w:t>
      </w:r>
      <w:r w:rsidR="00B10980" w:rsidRPr="00A81743">
        <w:rPr>
          <w:rFonts w:cstheme="minorHAnsi"/>
        </w:rPr>
        <w:t>was modelled after the University of Washington software Snow Wor</w:t>
      </w:r>
      <w:r w:rsidR="00D176D8" w:rsidRPr="00A81743">
        <w:rPr>
          <w:rFonts w:cstheme="minorHAnsi"/>
        </w:rPr>
        <w:t>ld</w:t>
      </w:r>
      <w:r w:rsidR="00F23E7B">
        <w:rPr>
          <w:rFonts w:cstheme="minorHAnsi"/>
        </w:rPr>
        <w:t xml:space="preserve"> (1</w:t>
      </w:r>
      <w:r w:rsidR="000D2EAF">
        <w:rPr>
          <w:rFonts w:cstheme="minorHAnsi"/>
        </w:rPr>
        <w:t>9</w:t>
      </w:r>
      <w:r w:rsidR="009D4D1F">
        <w:rPr>
          <w:rFonts w:cstheme="minorHAnsi"/>
        </w:rPr>
        <w:t>)</w:t>
      </w:r>
      <w:r w:rsidR="00B10980" w:rsidRPr="00A81743">
        <w:rPr>
          <w:rFonts w:cstheme="minorHAnsi"/>
          <w:b/>
        </w:rPr>
        <w:t xml:space="preserve">, </w:t>
      </w:r>
      <w:r w:rsidR="002D3AB5" w:rsidRPr="00A81743">
        <w:rPr>
          <w:rFonts w:eastAsia="PMingLiU" w:cstheme="minorHAnsi"/>
          <w:lang w:eastAsia="zh-HK"/>
        </w:rPr>
        <w:t>and</w:t>
      </w:r>
      <w:r w:rsidR="00B10980" w:rsidRPr="00A81743">
        <w:rPr>
          <w:rFonts w:cstheme="minorHAnsi"/>
        </w:rPr>
        <w:t xml:space="preserve"> </w:t>
      </w:r>
      <w:r w:rsidR="00B2732F" w:rsidRPr="00A81743">
        <w:rPr>
          <w:rFonts w:cstheme="minorHAnsi"/>
        </w:rPr>
        <w:t xml:space="preserve">allowed subjects to travel </w:t>
      </w:r>
      <w:proofErr w:type="gramStart"/>
      <w:r w:rsidR="00B2732F" w:rsidRPr="00A81743">
        <w:rPr>
          <w:rFonts w:cstheme="minorHAnsi"/>
        </w:rPr>
        <w:t>through a</w:t>
      </w:r>
      <w:r w:rsidR="004A23A5" w:rsidRPr="00A81743">
        <w:rPr>
          <w:rFonts w:cstheme="minorHAnsi"/>
        </w:rPr>
        <w:t xml:space="preserve"> landscapes</w:t>
      </w:r>
      <w:proofErr w:type="gramEnd"/>
      <w:r w:rsidR="004A23A5" w:rsidRPr="00A81743">
        <w:rPr>
          <w:rFonts w:cstheme="minorHAnsi"/>
        </w:rPr>
        <w:t xml:space="preserve"> of an Arctic tundra</w:t>
      </w:r>
      <w:r w:rsidR="00C65CB4">
        <w:rPr>
          <w:rFonts w:cstheme="minorHAnsi"/>
        </w:rPr>
        <w:t>.</w:t>
      </w:r>
      <w:r w:rsidR="004A23A5" w:rsidRPr="00A81743">
        <w:rPr>
          <w:rFonts w:cstheme="minorHAnsi"/>
        </w:rPr>
        <w:t xml:space="preserve"> </w:t>
      </w:r>
      <w:proofErr w:type="gramStart"/>
      <w:r w:rsidR="004A23A5" w:rsidRPr="00A81743">
        <w:rPr>
          <w:rFonts w:cstheme="minorHAnsi"/>
        </w:rPr>
        <w:t>Both software</w:t>
      </w:r>
      <w:proofErr w:type="gramEnd"/>
      <w:r w:rsidR="004A23A5" w:rsidRPr="00A81743">
        <w:rPr>
          <w:rFonts w:cstheme="minorHAnsi"/>
        </w:rPr>
        <w:t xml:space="preserve"> were chosen as they provided a continuous </w:t>
      </w:r>
      <w:r w:rsidR="00B10980" w:rsidRPr="00A81743">
        <w:rPr>
          <w:rFonts w:cstheme="minorHAnsi"/>
        </w:rPr>
        <w:t>“ride” experience, taking the user through the virtual environment without any need for di</w:t>
      </w:r>
      <w:r w:rsidR="004A23A5" w:rsidRPr="00A81743">
        <w:rPr>
          <w:rFonts w:cstheme="minorHAnsi"/>
        </w:rPr>
        <w:t>recting travel.</w:t>
      </w:r>
      <w:r w:rsidR="00405028">
        <w:rPr>
          <w:rFonts w:cstheme="minorHAnsi"/>
        </w:rPr>
        <w:t xml:space="preserve"> </w:t>
      </w:r>
      <w:r w:rsidR="004F6388" w:rsidRPr="00A81743">
        <w:rPr>
          <w:rFonts w:cstheme="minorHAnsi"/>
        </w:rPr>
        <w:t xml:space="preserve">Both setups included </w:t>
      </w:r>
      <w:r w:rsidR="0015644E" w:rsidRPr="00A81743">
        <w:rPr>
          <w:rFonts w:cstheme="minorHAnsi"/>
        </w:rPr>
        <w:t>noise-cancelling headphones playing</w:t>
      </w:r>
      <w:r w:rsidR="00525A9C" w:rsidRPr="00A81743">
        <w:rPr>
          <w:rFonts w:cstheme="minorHAnsi"/>
        </w:rPr>
        <w:t xml:space="preserve"> background sound from the </w:t>
      </w:r>
      <w:r w:rsidR="002770F0" w:rsidRPr="00A81743">
        <w:rPr>
          <w:rFonts w:cstheme="minorHAnsi"/>
        </w:rPr>
        <w:t>I</w:t>
      </w:r>
      <w:r w:rsidR="00525A9C" w:rsidRPr="00A81743">
        <w:rPr>
          <w:rFonts w:cstheme="minorHAnsi"/>
        </w:rPr>
        <w:t xml:space="preserve">VR </w:t>
      </w:r>
      <w:r w:rsidR="004F6388" w:rsidRPr="00A81743">
        <w:rPr>
          <w:rFonts w:cstheme="minorHAnsi"/>
        </w:rPr>
        <w:t>simulation</w:t>
      </w:r>
      <w:r w:rsidR="00525A9C" w:rsidRPr="00A81743">
        <w:rPr>
          <w:rFonts w:cstheme="minorHAnsi"/>
        </w:rPr>
        <w:t xml:space="preserve"> and classical </w:t>
      </w:r>
      <w:r w:rsidR="0015644E" w:rsidRPr="00A81743">
        <w:rPr>
          <w:rFonts w:cstheme="minorHAnsi"/>
        </w:rPr>
        <w:t>music from the Hush Collection</w:t>
      </w:r>
      <w:r w:rsidR="000D2EAF">
        <w:rPr>
          <w:rFonts w:cstheme="minorHAnsi"/>
        </w:rPr>
        <w:t xml:space="preserve"> Volume 13</w:t>
      </w:r>
      <w:r w:rsidR="0015644E" w:rsidRPr="00A81743">
        <w:rPr>
          <w:rFonts w:cstheme="minorHAnsi"/>
        </w:rPr>
        <w:t xml:space="preserve"> by t</w:t>
      </w:r>
      <w:r w:rsidR="00525A9C" w:rsidRPr="00A81743">
        <w:rPr>
          <w:rFonts w:cstheme="minorHAnsi"/>
        </w:rPr>
        <w:t>he Tasmanian Symphony Orchestra</w:t>
      </w:r>
      <w:r w:rsidR="00C04305">
        <w:rPr>
          <w:rFonts w:cstheme="minorHAnsi"/>
        </w:rPr>
        <w:t xml:space="preserve"> (</w:t>
      </w:r>
      <w:r w:rsidR="000D2EAF">
        <w:rPr>
          <w:rFonts w:cstheme="minorHAnsi"/>
        </w:rPr>
        <w:t xml:space="preserve">Hush Foundation, Victoria, </w:t>
      </w:r>
      <w:proofErr w:type="gramStart"/>
      <w:r w:rsidR="000D2EAF">
        <w:rPr>
          <w:rFonts w:cstheme="minorHAnsi"/>
        </w:rPr>
        <w:t>Australia</w:t>
      </w:r>
      <w:proofErr w:type="gramEnd"/>
      <w:r w:rsidR="000D2EAF">
        <w:rPr>
          <w:rFonts w:cstheme="minorHAnsi"/>
        </w:rPr>
        <w:t>)</w:t>
      </w:r>
      <w:r w:rsidR="00525A9C" w:rsidRPr="00A81743">
        <w:rPr>
          <w:rFonts w:cstheme="minorHAnsi"/>
        </w:rPr>
        <w:t xml:space="preserve"> provided with permission by </w:t>
      </w:r>
      <w:proofErr w:type="spellStart"/>
      <w:r w:rsidR="00525A9C" w:rsidRPr="00A81743">
        <w:rPr>
          <w:rFonts w:cstheme="minorHAnsi"/>
        </w:rPr>
        <w:t>Dr.</w:t>
      </w:r>
      <w:proofErr w:type="spellEnd"/>
      <w:r w:rsidR="00525A9C" w:rsidRPr="00A81743">
        <w:rPr>
          <w:rFonts w:cstheme="minorHAnsi"/>
        </w:rPr>
        <w:t xml:space="preserve"> Catherine Crock</w:t>
      </w:r>
      <w:r w:rsidR="006160B9" w:rsidRPr="00A81743">
        <w:rPr>
          <w:rFonts w:cstheme="minorHAnsi"/>
        </w:rPr>
        <w:t xml:space="preserve">, </w:t>
      </w:r>
      <w:proofErr w:type="spellStart"/>
      <w:r w:rsidR="006160B9" w:rsidRPr="00A81743">
        <w:rPr>
          <w:rFonts w:cstheme="minorHAnsi"/>
        </w:rPr>
        <w:t>p</w:t>
      </w:r>
      <w:r w:rsidR="00950A1E">
        <w:rPr>
          <w:rFonts w:cstheme="minorHAnsi"/>
        </w:rPr>
        <w:t>e</w:t>
      </w:r>
      <w:r w:rsidR="006160B9" w:rsidRPr="00A81743">
        <w:rPr>
          <w:rFonts w:cstheme="minorHAnsi"/>
        </w:rPr>
        <w:t>diatrician</w:t>
      </w:r>
      <w:proofErr w:type="spellEnd"/>
      <w:r w:rsidR="006160B9" w:rsidRPr="00A81743">
        <w:rPr>
          <w:rFonts w:cstheme="minorHAnsi"/>
        </w:rPr>
        <w:t xml:space="preserve"> at the Royal Children’s Hospital, Melbourne</w:t>
      </w:r>
      <w:r w:rsidR="009B572D" w:rsidRPr="00A81743">
        <w:rPr>
          <w:rFonts w:cstheme="minorHAnsi"/>
        </w:rPr>
        <w:t>.</w:t>
      </w:r>
    </w:p>
    <w:p w14:paraId="195396FD" w14:textId="77777777" w:rsidR="00F16A85" w:rsidRPr="00A81743" w:rsidRDefault="00F16A85" w:rsidP="00F23E7B">
      <w:pPr>
        <w:pStyle w:val="NoSpacing"/>
        <w:spacing w:line="360" w:lineRule="auto"/>
        <w:rPr>
          <w:rFonts w:cstheme="minorHAnsi"/>
        </w:rPr>
      </w:pPr>
    </w:p>
    <w:p w14:paraId="36D42235" w14:textId="77777777" w:rsidR="00290EC8" w:rsidRDefault="00290EC8" w:rsidP="00F23E7B">
      <w:pPr>
        <w:pStyle w:val="NoSpacing"/>
        <w:spacing w:line="360" w:lineRule="auto"/>
        <w:rPr>
          <w:rFonts w:cstheme="minorHAnsi"/>
          <w:b/>
        </w:rPr>
      </w:pPr>
      <w:r w:rsidRPr="00A81743">
        <w:rPr>
          <w:rFonts w:cstheme="minorHAnsi"/>
          <w:b/>
        </w:rPr>
        <w:t>Statistical Analysis</w:t>
      </w:r>
    </w:p>
    <w:p w14:paraId="6C2BD70F" w14:textId="5A384C3A" w:rsidR="00D718B1" w:rsidRPr="00A81743" w:rsidRDefault="00C00FC9" w:rsidP="00F23E7B">
      <w:pPr>
        <w:pStyle w:val="NoSpacing"/>
        <w:spacing w:line="360" w:lineRule="auto"/>
        <w:rPr>
          <w:rFonts w:cstheme="minorHAnsi"/>
        </w:rPr>
      </w:pPr>
      <w:r>
        <w:rPr>
          <w:rFonts w:cstheme="minorHAnsi"/>
        </w:rPr>
        <w:t>Data were</w:t>
      </w:r>
      <w:r w:rsidR="0034457E" w:rsidRPr="0034457E">
        <w:rPr>
          <w:rFonts w:cstheme="minorHAnsi"/>
        </w:rPr>
        <w:t xml:space="preserve"> </w:t>
      </w:r>
      <w:r w:rsidR="00C04305" w:rsidRPr="0034457E">
        <w:rPr>
          <w:rFonts w:cstheme="minorHAnsi"/>
        </w:rPr>
        <w:t>analy</w:t>
      </w:r>
      <w:r w:rsidR="00C04305">
        <w:rPr>
          <w:rFonts w:cstheme="minorHAnsi"/>
        </w:rPr>
        <w:t>z</w:t>
      </w:r>
      <w:r w:rsidR="00C04305" w:rsidRPr="0034457E">
        <w:rPr>
          <w:rFonts w:cstheme="minorHAnsi"/>
        </w:rPr>
        <w:t xml:space="preserve">ed </w:t>
      </w:r>
      <w:r w:rsidR="00C04305">
        <w:rPr>
          <w:rFonts w:cstheme="minorHAnsi"/>
        </w:rPr>
        <w:t>by</w:t>
      </w:r>
      <w:r w:rsidR="00C04305" w:rsidRPr="0034457E">
        <w:rPr>
          <w:rFonts w:cstheme="minorHAnsi"/>
        </w:rPr>
        <w:t xml:space="preserve"> </w:t>
      </w:r>
      <w:r w:rsidR="0034457E" w:rsidRPr="0034457E">
        <w:rPr>
          <w:rFonts w:cstheme="minorHAnsi"/>
        </w:rPr>
        <w:t>intention to treat.</w:t>
      </w:r>
      <w:r w:rsidR="0034457E">
        <w:rPr>
          <w:rFonts w:cstheme="minorHAnsi"/>
        </w:rPr>
        <w:t xml:space="preserve"> </w:t>
      </w:r>
      <w:r w:rsidR="00C90A99" w:rsidRPr="00A81743">
        <w:rPr>
          <w:rFonts w:cstheme="minorHAnsi"/>
        </w:rPr>
        <w:t>Baseline variables including d</w:t>
      </w:r>
      <w:r w:rsidR="006A235F" w:rsidRPr="00A81743">
        <w:rPr>
          <w:rFonts w:cstheme="minorHAnsi"/>
        </w:rPr>
        <w:t xml:space="preserve">emographic and case data </w:t>
      </w:r>
      <w:r w:rsidR="00C90A99" w:rsidRPr="00A81743">
        <w:rPr>
          <w:rFonts w:cstheme="minorHAnsi"/>
        </w:rPr>
        <w:t xml:space="preserve">between treatment groups were compared despite randomization, given the relatively small sample size. </w:t>
      </w:r>
      <w:r w:rsidR="004F5EF2">
        <w:rPr>
          <w:rFonts w:cstheme="minorHAnsi"/>
        </w:rPr>
        <w:t xml:space="preserve">Propofol use was compared using a one-way ANOVA comparing means. </w:t>
      </w:r>
      <w:r w:rsidR="00C90A99" w:rsidRPr="00A81743">
        <w:rPr>
          <w:rFonts w:cstheme="minorHAnsi"/>
        </w:rPr>
        <w:t xml:space="preserve">Fisher’s </w:t>
      </w:r>
      <w:proofErr w:type="gramStart"/>
      <w:r w:rsidR="00C90A99" w:rsidRPr="00A81743">
        <w:rPr>
          <w:rFonts w:cstheme="minorHAnsi"/>
        </w:rPr>
        <w:t>Exact</w:t>
      </w:r>
      <w:proofErr w:type="gramEnd"/>
      <w:r w:rsidR="00C90A99" w:rsidRPr="00A81743">
        <w:rPr>
          <w:rFonts w:cstheme="minorHAnsi"/>
        </w:rPr>
        <w:t xml:space="preserve"> test and the Mann Whitney U test were used for the comparison of </w:t>
      </w:r>
      <w:r w:rsidR="004F5EF2">
        <w:rPr>
          <w:rFonts w:cstheme="minorHAnsi"/>
        </w:rPr>
        <w:t xml:space="preserve">categorical and </w:t>
      </w:r>
      <w:r w:rsidR="00C90A99" w:rsidRPr="00A81743">
        <w:rPr>
          <w:rFonts w:cstheme="minorHAnsi"/>
        </w:rPr>
        <w:t xml:space="preserve">continuous </w:t>
      </w:r>
      <w:r w:rsidR="004F5EF2">
        <w:rPr>
          <w:rFonts w:cstheme="minorHAnsi"/>
        </w:rPr>
        <w:t xml:space="preserve">non-parametric </w:t>
      </w:r>
      <w:r w:rsidR="00C90A99" w:rsidRPr="00A81743">
        <w:rPr>
          <w:rFonts w:cstheme="minorHAnsi"/>
        </w:rPr>
        <w:t xml:space="preserve">variables respectively. </w:t>
      </w:r>
      <w:r w:rsidR="00952635" w:rsidRPr="00A81743">
        <w:rPr>
          <w:rFonts w:cstheme="minorHAnsi"/>
        </w:rPr>
        <w:t xml:space="preserve">Continuous data are presented as </w:t>
      </w:r>
      <w:r w:rsidR="00382C86">
        <w:rPr>
          <w:rFonts w:cstheme="minorHAnsi"/>
        </w:rPr>
        <w:t>means with standard error</w:t>
      </w:r>
      <w:r w:rsidR="00EA14AC">
        <w:rPr>
          <w:rFonts w:cstheme="minorHAnsi"/>
        </w:rPr>
        <w:t xml:space="preserve"> or medians with interquartile range</w:t>
      </w:r>
      <w:r w:rsidR="00FA1850" w:rsidRPr="00A81743">
        <w:rPr>
          <w:rFonts w:cstheme="minorHAnsi"/>
        </w:rPr>
        <w:t xml:space="preserve">. </w:t>
      </w:r>
      <w:r w:rsidR="00C90A99" w:rsidRPr="00A81743">
        <w:rPr>
          <w:rFonts w:cstheme="minorHAnsi"/>
        </w:rPr>
        <w:t>Independent a</w:t>
      </w:r>
      <w:r w:rsidR="006A235F" w:rsidRPr="00A81743">
        <w:rPr>
          <w:rFonts w:cstheme="minorHAnsi"/>
        </w:rPr>
        <w:t>ssociation</w:t>
      </w:r>
      <w:r w:rsidR="00952635" w:rsidRPr="00A81743">
        <w:rPr>
          <w:rFonts w:cstheme="minorHAnsi"/>
        </w:rPr>
        <w:t xml:space="preserve"> between </w:t>
      </w:r>
      <w:r w:rsidR="00C90A99" w:rsidRPr="00A81743">
        <w:rPr>
          <w:rFonts w:cstheme="minorHAnsi"/>
        </w:rPr>
        <w:t xml:space="preserve">the measured variables and </w:t>
      </w:r>
      <w:r w:rsidR="00952635" w:rsidRPr="00A81743">
        <w:rPr>
          <w:rFonts w:cstheme="minorHAnsi"/>
        </w:rPr>
        <w:t>propofol use</w:t>
      </w:r>
      <w:r w:rsidR="00032BC3" w:rsidRPr="00A81743">
        <w:rPr>
          <w:rFonts w:cstheme="minorHAnsi"/>
        </w:rPr>
        <w:t xml:space="preserve"> </w:t>
      </w:r>
      <w:r w:rsidR="006A235F" w:rsidRPr="00A81743">
        <w:rPr>
          <w:rFonts w:cstheme="minorHAnsi"/>
        </w:rPr>
        <w:t>was assessed using the Mann Whitney U-test for</w:t>
      </w:r>
      <w:r w:rsidR="00032BC3" w:rsidRPr="00A81743">
        <w:rPr>
          <w:rFonts w:cstheme="minorHAnsi"/>
        </w:rPr>
        <w:t xml:space="preserve"> categorical variables</w:t>
      </w:r>
      <w:r w:rsidR="00762891" w:rsidRPr="00A81743">
        <w:rPr>
          <w:rFonts w:cstheme="minorHAnsi"/>
        </w:rPr>
        <w:t xml:space="preserve"> </w:t>
      </w:r>
      <w:r w:rsidR="00536146" w:rsidRPr="00A81743">
        <w:rPr>
          <w:rFonts w:cstheme="minorHAnsi"/>
        </w:rPr>
        <w:t>(including</w:t>
      </w:r>
      <w:r w:rsidR="00762891" w:rsidRPr="00A81743">
        <w:rPr>
          <w:rFonts w:cstheme="minorHAnsi"/>
        </w:rPr>
        <w:t xml:space="preserve"> </w:t>
      </w:r>
      <w:r w:rsidR="005F1F97" w:rsidRPr="00A81743">
        <w:rPr>
          <w:rFonts w:cstheme="minorHAnsi"/>
        </w:rPr>
        <w:t xml:space="preserve">pre-procedure </w:t>
      </w:r>
      <w:r w:rsidR="00762891" w:rsidRPr="00A81743">
        <w:rPr>
          <w:rFonts w:cstheme="minorHAnsi"/>
        </w:rPr>
        <w:t xml:space="preserve">QoR-40 </w:t>
      </w:r>
      <w:r w:rsidR="00536146" w:rsidRPr="00A81743">
        <w:rPr>
          <w:rFonts w:cstheme="minorHAnsi"/>
        </w:rPr>
        <w:t>scores)</w:t>
      </w:r>
      <w:r w:rsidR="006A235F" w:rsidRPr="00A81743">
        <w:rPr>
          <w:rFonts w:cstheme="minorHAnsi"/>
        </w:rPr>
        <w:t xml:space="preserve">, and Pearson’s correlation coefficient for continuous </w:t>
      </w:r>
      <w:r w:rsidR="00032BC3" w:rsidRPr="00A81743">
        <w:rPr>
          <w:rFonts w:cstheme="minorHAnsi"/>
        </w:rPr>
        <w:t>variables</w:t>
      </w:r>
      <w:r w:rsidR="006A235F" w:rsidRPr="00A81743">
        <w:rPr>
          <w:rFonts w:cstheme="minorHAnsi"/>
        </w:rPr>
        <w:t>.</w:t>
      </w:r>
      <w:r w:rsidR="00D718B1" w:rsidRPr="00A81743">
        <w:rPr>
          <w:rFonts w:cstheme="minorHAnsi"/>
        </w:rPr>
        <w:t xml:space="preserve"> </w:t>
      </w:r>
      <w:r w:rsidR="0078190E" w:rsidRPr="00A81743">
        <w:rPr>
          <w:rFonts w:cstheme="minorHAnsi"/>
        </w:rPr>
        <w:t>QoR-40 score changes from pre- to post-procedure w</w:t>
      </w:r>
      <w:r w:rsidR="00D718B1" w:rsidRPr="00A81743">
        <w:rPr>
          <w:rFonts w:cstheme="minorHAnsi"/>
        </w:rPr>
        <w:t>ere compared using the Mann Whitney U test.</w:t>
      </w:r>
      <w:r w:rsidR="00C04305">
        <w:rPr>
          <w:rFonts w:cstheme="minorHAnsi"/>
        </w:rPr>
        <w:t xml:space="preserve"> </w:t>
      </w:r>
    </w:p>
    <w:p w14:paraId="696A632E" w14:textId="77777777" w:rsidR="00C90A99" w:rsidRPr="00A81743" w:rsidRDefault="00C90A99" w:rsidP="00F23E7B">
      <w:pPr>
        <w:pStyle w:val="NoSpacing"/>
        <w:spacing w:line="360" w:lineRule="auto"/>
        <w:rPr>
          <w:rFonts w:cstheme="minorHAnsi"/>
        </w:rPr>
      </w:pPr>
    </w:p>
    <w:p w14:paraId="7DDA9742" w14:textId="6C4B7F78" w:rsidR="00B3473E" w:rsidRPr="00A81743" w:rsidRDefault="00405028" w:rsidP="00F23E7B">
      <w:pPr>
        <w:pStyle w:val="NoSpacing"/>
        <w:spacing w:line="360" w:lineRule="auto"/>
        <w:rPr>
          <w:rFonts w:cstheme="minorHAnsi"/>
        </w:rPr>
      </w:pPr>
      <w:r>
        <w:rPr>
          <w:rFonts w:cstheme="minorHAnsi"/>
        </w:rPr>
        <w:t>Post-hoc negative binomial</w:t>
      </w:r>
      <w:r w:rsidR="00A7391C" w:rsidRPr="00A81743">
        <w:rPr>
          <w:rFonts w:cstheme="minorHAnsi"/>
        </w:rPr>
        <w:t xml:space="preserve"> regression was</w:t>
      </w:r>
      <w:r>
        <w:rPr>
          <w:rFonts w:cstheme="minorHAnsi"/>
        </w:rPr>
        <w:t xml:space="preserve"> employed to</w:t>
      </w:r>
      <w:r w:rsidR="00A7391C" w:rsidRPr="00A81743">
        <w:rPr>
          <w:rFonts w:cstheme="minorHAnsi"/>
        </w:rPr>
        <w:t xml:space="preserve"> a</w:t>
      </w:r>
      <w:r>
        <w:rPr>
          <w:rFonts w:cstheme="minorHAnsi"/>
        </w:rPr>
        <w:t>ssess</w:t>
      </w:r>
      <w:r w:rsidR="00A7391C" w:rsidRPr="00A81743">
        <w:rPr>
          <w:rFonts w:cstheme="minorHAnsi"/>
        </w:rPr>
        <w:t xml:space="preserve"> for</w:t>
      </w:r>
      <w:r>
        <w:rPr>
          <w:rFonts w:cstheme="minorHAnsi"/>
        </w:rPr>
        <w:t xml:space="preserve"> </w:t>
      </w:r>
      <w:r w:rsidR="00C90A99" w:rsidRPr="00A81743">
        <w:rPr>
          <w:rFonts w:cstheme="minorHAnsi"/>
        </w:rPr>
        <w:t>potential confounders,</w:t>
      </w:r>
      <w:r w:rsidR="00B3473E" w:rsidRPr="00A81743">
        <w:rPr>
          <w:rFonts w:cstheme="minorHAnsi"/>
        </w:rPr>
        <w:t xml:space="preserve"> </w:t>
      </w:r>
      <w:r w:rsidR="00C90A99" w:rsidRPr="00A81743">
        <w:rPr>
          <w:rFonts w:cstheme="minorHAnsi"/>
        </w:rPr>
        <w:t>however, r</w:t>
      </w:r>
      <w:r w:rsidR="00A7391C" w:rsidRPr="00A81743">
        <w:rPr>
          <w:rFonts w:cstheme="minorHAnsi"/>
        </w:rPr>
        <w:t>elatively small sample size</w:t>
      </w:r>
      <w:r w:rsidR="006A235F" w:rsidRPr="00A81743">
        <w:rPr>
          <w:rFonts w:cstheme="minorHAnsi"/>
        </w:rPr>
        <w:t xml:space="preserve"> permitted adjustment for only one covariate</w:t>
      </w:r>
      <w:r w:rsidR="00FA1850" w:rsidRPr="00A81743">
        <w:rPr>
          <w:rFonts w:cstheme="minorHAnsi"/>
        </w:rPr>
        <w:t xml:space="preserve"> in the final model</w:t>
      </w:r>
      <w:r w:rsidR="00B3473E" w:rsidRPr="00A81743">
        <w:rPr>
          <w:rFonts w:cstheme="minorHAnsi"/>
        </w:rPr>
        <w:t xml:space="preserve">. Each covariate was evaluated individually for its confounding effect on the relationship between </w:t>
      </w:r>
      <w:r w:rsidR="0056163E" w:rsidRPr="00A81743">
        <w:rPr>
          <w:rFonts w:cstheme="minorHAnsi"/>
        </w:rPr>
        <w:t>treatment group</w:t>
      </w:r>
      <w:r w:rsidR="00B3473E" w:rsidRPr="00A81743">
        <w:rPr>
          <w:rFonts w:cstheme="minorHAnsi"/>
        </w:rPr>
        <w:t xml:space="preserve"> and propofol use, with the largest confounder </w:t>
      </w:r>
      <w:r w:rsidR="00C36B96" w:rsidRPr="00A81743">
        <w:rPr>
          <w:rFonts w:cstheme="minorHAnsi"/>
        </w:rPr>
        <w:t>selected for the</w:t>
      </w:r>
      <w:r w:rsidR="00B3473E" w:rsidRPr="00A81743">
        <w:rPr>
          <w:rFonts w:cstheme="minorHAnsi"/>
        </w:rPr>
        <w:t xml:space="preserve"> final model.</w:t>
      </w:r>
    </w:p>
    <w:p w14:paraId="6881657D" w14:textId="77777777" w:rsidR="00C36B96" w:rsidRPr="00A81743" w:rsidRDefault="00C36B96" w:rsidP="00F23E7B">
      <w:pPr>
        <w:pStyle w:val="NoSpacing"/>
        <w:spacing w:line="360" w:lineRule="auto"/>
        <w:rPr>
          <w:rFonts w:cstheme="minorHAnsi"/>
        </w:rPr>
      </w:pPr>
    </w:p>
    <w:p w14:paraId="471F6246" w14:textId="77324454" w:rsidR="00C36B96" w:rsidRPr="00A81743" w:rsidRDefault="00D718B1" w:rsidP="00F23E7B">
      <w:pPr>
        <w:pStyle w:val="NoSpacing"/>
        <w:spacing w:line="360" w:lineRule="auto"/>
        <w:rPr>
          <w:rFonts w:cstheme="minorHAnsi"/>
        </w:rPr>
      </w:pPr>
      <w:r w:rsidRPr="00A81743">
        <w:rPr>
          <w:rFonts w:cstheme="minorHAnsi"/>
        </w:rPr>
        <w:t>For all comparisons, a</w:t>
      </w:r>
      <w:r w:rsidR="00C36B96" w:rsidRPr="00A81743">
        <w:rPr>
          <w:rFonts w:cstheme="minorHAnsi"/>
        </w:rPr>
        <w:t xml:space="preserve"> two-sided p-value of &lt;0.05 was used for statistical significance. Statistical analysis was perf</w:t>
      </w:r>
      <w:r w:rsidR="004C1EBC">
        <w:rPr>
          <w:rFonts w:cstheme="minorHAnsi"/>
        </w:rPr>
        <w:t>ormed using SPSS v20 (IBM, Armonk, NY)</w:t>
      </w:r>
    </w:p>
    <w:p w14:paraId="4818BDBF" w14:textId="77777777" w:rsidR="00ED1C8B" w:rsidRPr="00A81743" w:rsidRDefault="00ED1C8B" w:rsidP="00F23E7B">
      <w:pPr>
        <w:pStyle w:val="NoSpacing"/>
        <w:spacing w:line="360" w:lineRule="auto"/>
        <w:rPr>
          <w:rFonts w:cstheme="minorHAnsi"/>
        </w:rPr>
      </w:pPr>
    </w:p>
    <w:p w14:paraId="78341543" w14:textId="0417224E" w:rsidR="00ED1C8B" w:rsidRPr="00A81743" w:rsidRDefault="00ED1C8B" w:rsidP="00F23E7B">
      <w:pPr>
        <w:pStyle w:val="NoSpacing"/>
        <w:spacing w:line="360" w:lineRule="auto"/>
        <w:rPr>
          <w:rFonts w:cstheme="minorHAnsi"/>
          <w:b/>
        </w:rPr>
      </w:pPr>
      <w:r w:rsidRPr="00A81743">
        <w:rPr>
          <w:rFonts w:cstheme="minorHAnsi"/>
          <w:b/>
        </w:rPr>
        <w:t>Sample Size</w:t>
      </w:r>
    </w:p>
    <w:p w14:paraId="0120931F" w14:textId="0D4CC03A" w:rsidR="00ED1C8B" w:rsidRPr="00A81743" w:rsidRDefault="003131AA" w:rsidP="00F23E7B">
      <w:pPr>
        <w:pStyle w:val="NoSpacing"/>
        <w:spacing w:line="360" w:lineRule="auto"/>
        <w:rPr>
          <w:rFonts w:cstheme="minorHAnsi"/>
        </w:rPr>
      </w:pPr>
      <w:r w:rsidRPr="00A81743">
        <w:rPr>
          <w:rFonts w:cstheme="minorHAnsi"/>
        </w:rPr>
        <w:t>The pilot study previously trialling the use of the Oculus Rift as a non-pharmacological adjunct to sedation in during elective joint replacement surgery estimated that to ach</w:t>
      </w:r>
      <w:r w:rsidR="00A471D4">
        <w:rPr>
          <w:rFonts w:cstheme="minorHAnsi"/>
        </w:rPr>
        <w:t xml:space="preserve">ieve a power of 80% with a </w:t>
      </w:r>
      <w:r w:rsidRPr="00A81743">
        <w:rPr>
          <w:rFonts w:cstheme="minorHAnsi"/>
        </w:rPr>
        <w:t>difference</w:t>
      </w:r>
      <w:r w:rsidR="00A471D4">
        <w:rPr>
          <w:rFonts w:cstheme="minorHAnsi"/>
        </w:rPr>
        <w:t xml:space="preserve"> in means</w:t>
      </w:r>
      <w:r w:rsidRPr="00A81743">
        <w:rPr>
          <w:rFonts w:cstheme="minorHAnsi"/>
        </w:rPr>
        <w:t xml:space="preserve"> of 91 mg/hour, a sample size of 22 in each group would be required. To allow for a potential 10% attrition rate, 25 patients per group were recruited.</w:t>
      </w:r>
    </w:p>
    <w:p w14:paraId="0B7AC8A8" w14:textId="77777777" w:rsidR="00032BC3" w:rsidRPr="00A81743" w:rsidRDefault="00032BC3" w:rsidP="00F23E7B">
      <w:pPr>
        <w:pStyle w:val="NoSpacing"/>
        <w:spacing w:line="360" w:lineRule="auto"/>
        <w:rPr>
          <w:rFonts w:cstheme="minorHAnsi"/>
        </w:rPr>
      </w:pPr>
    </w:p>
    <w:p w14:paraId="00709EFE" w14:textId="410E2060" w:rsidR="00515310" w:rsidRPr="00A81743" w:rsidRDefault="00226729" w:rsidP="00DA3F15">
      <w:pPr>
        <w:spacing w:line="360" w:lineRule="auto"/>
        <w:rPr>
          <w:rFonts w:cstheme="minorHAnsi"/>
          <w:b/>
        </w:rPr>
      </w:pPr>
      <w:r w:rsidRPr="00A81743">
        <w:rPr>
          <w:rFonts w:cstheme="minorHAnsi"/>
          <w:b/>
        </w:rPr>
        <w:br w:type="page"/>
      </w:r>
      <w:r w:rsidR="00515310" w:rsidRPr="00A81743">
        <w:rPr>
          <w:rFonts w:cstheme="minorHAnsi"/>
          <w:b/>
        </w:rPr>
        <w:lastRenderedPageBreak/>
        <w:t>Results</w:t>
      </w:r>
    </w:p>
    <w:p w14:paraId="16270D6C" w14:textId="798C48E5" w:rsidR="00C00FC9" w:rsidRDefault="00C00FC9" w:rsidP="00C00FC9">
      <w:pPr>
        <w:pStyle w:val="NoSpacing"/>
        <w:spacing w:line="360" w:lineRule="auto"/>
        <w:rPr>
          <w:rFonts w:cstheme="minorHAnsi"/>
        </w:rPr>
      </w:pPr>
      <w:r w:rsidRPr="00A81743">
        <w:rPr>
          <w:rFonts w:cstheme="minorHAnsi"/>
        </w:rPr>
        <w:t>A total of 134 patients were approached for this study between February and June 2016, of which 64 patients were enrolled to participate</w:t>
      </w:r>
      <w:r>
        <w:rPr>
          <w:rFonts w:cstheme="minorHAnsi"/>
        </w:rPr>
        <w:t xml:space="preserve"> (Figure 1)</w:t>
      </w:r>
      <w:r w:rsidRPr="00A81743">
        <w:rPr>
          <w:rFonts w:cstheme="minorHAnsi"/>
        </w:rPr>
        <w:t xml:space="preserve">. Of these, 12 patients were later excluded as they required a general </w:t>
      </w:r>
      <w:proofErr w:type="spellStart"/>
      <w:r w:rsidRPr="00A81743">
        <w:rPr>
          <w:rFonts w:cstheme="minorHAnsi"/>
        </w:rPr>
        <w:t>an</w:t>
      </w:r>
      <w:r>
        <w:rPr>
          <w:rFonts w:cstheme="minorHAnsi"/>
        </w:rPr>
        <w:t>e</w:t>
      </w:r>
      <w:r w:rsidRPr="00A81743">
        <w:rPr>
          <w:rFonts w:cstheme="minorHAnsi"/>
        </w:rPr>
        <w:t>sthetic</w:t>
      </w:r>
      <w:proofErr w:type="spellEnd"/>
      <w:r w:rsidRPr="00A81743">
        <w:rPr>
          <w:rFonts w:cstheme="minorHAnsi"/>
        </w:rPr>
        <w:t xml:space="preserve"> for unforeseen reasons, including difficulty </w:t>
      </w:r>
      <w:r>
        <w:rPr>
          <w:rFonts w:cstheme="minorHAnsi"/>
        </w:rPr>
        <w:t>performing spinal anesthesia</w:t>
      </w:r>
      <w:r w:rsidRPr="00A81743">
        <w:rPr>
          <w:rFonts w:cstheme="minorHAnsi"/>
        </w:rPr>
        <w:t>, inadequate eff</w:t>
      </w:r>
      <w:r>
        <w:rPr>
          <w:rFonts w:cstheme="minorHAnsi"/>
        </w:rPr>
        <w:t xml:space="preserve">ect from spinal anesthesia </w:t>
      </w:r>
      <w:r w:rsidRPr="00A81743">
        <w:rPr>
          <w:rFonts w:cstheme="minorHAnsi"/>
        </w:rPr>
        <w:t>and failure to cease anticoagulant medication thus contraindicating spinal an</w:t>
      </w:r>
      <w:r>
        <w:rPr>
          <w:rFonts w:cstheme="minorHAnsi"/>
        </w:rPr>
        <w:t>e</w:t>
      </w:r>
      <w:r w:rsidRPr="00A81743">
        <w:rPr>
          <w:rFonts w:cstheme="minorHAnsi"/>
        </w:rPr>
        <w:t>sthes</w:t>
      </w:r>
      <w:r>
        <w:rPr>
          <w:rFonts w:cstheme="minorHAnsi"/>
        </w:rPr>
        <w:t>ia</w:t>
      </w:r>
      <w:r w:rsidRPr="00A81743">
        <w:rPr>
          <w:rFonts w:cstheme="minorHAnsi"/>
        </w:rPr>
        <w:t xml:space="preserve">. A further </w:t>
      </w:r>
      <w:r>
        <w:rPr>
          <w:rFonts w:cstheme="minorHAnsi"/>
        </w:rPr>
        <w:t>two</w:t>
      </w:r>
      <w:r w:rsidRPr="00A81743">
        <w:rPr>
          <w:rFonts w:cstheme="minorHAnsi"/>
        </w:rPr>
        <w:t xml:space="preserve"> patients were excluded after being deemed inappropriate for PCS by the treating </w:t>
      </w:r>
      <w:proofErr w:type="spellStart"/>
      <w:r w:rsidRPr="00A81743">
        <w:rPr>
          <w:rFonts w:cstheme="minorHAnsi"/>
        </w:rPr>
        <w:t>An</w:t>
      </w:r>
      <w:r>
        <w:rPr>
          <w:rFonts w:cstheme="minorHAnsi"/>
        </w:rPr>
        <w:t>e</w:t>
      </w:r>
      <w:r w:rsidRPr="00A81743">
        <w:rPr>
          <w:rFonts w:cstheme="minorHAnsi"/>
        </w:rPr>
        <w:t>sthesiologist</w:t>
      </w:r>
      <w:proofErr w:type="spellEnd"/>
      <w:r>
        <w:rPr>
          <w:rFonts w:cstheme="minorHAnsi"/>
        </w:rPr>
        <w:t xml:space="preserve"> for other reasons</w:t>
      </w:r>
      <w:r w:rsidRPr="00A81743">
        <w:rPr>
          <w:rFonts w:cstheme="minorHAnsi"/>
        </w:rPr>
        <w:t xml:space="preserve">. The remaining 50 patients were randomized to the control or IVR group, with 25 patients in each group. </w:t>
      </w:r>
      <w:r>
        <w:rPr>
          <w:rFonts w:cstheme="minorHAnsi"/>
        </w:rPr>
        <w:t xml:space="preserve">Of the 25 patients randomized to </w:t>
      </w:r>
      <w:r w:rsidR="00F72755">
        <w:rPr>
          <w:rFonts w:cstheme="minorHAnsi"/>
        </w:rPr>
        <w:t>IVR</w:t>
      </w:r>
      <w:r>
        <w:rPr>
          <w:rFonts w:cstheme="minorHAnsi"/>
        </w:rPr>
        <w:t>, 16 (65%) utilized the HMD to the end of the procedure. Four patients (16%) used it for more than 80 minutes, 4 (16%) used it for between 15-45 minutes, and one patient (4%) did not tolerate it at all. Reasons included</w:t>
      </w:r>
      <w:r w:rsidRPr="0068104E">
        <w:rPr>
          <w:rFonts w:cstheme="minorHAnsi"/>
        </w:rPr>
        <w:t xml:space="preserve"> </w:t>
      </w:r>
      <w:r w:rsidRPr="00A81743">
        <w:rPr>
          <w:rFonts w:cstheme="minorHAnsi"/>
        </w:rPr>
        <w:t>discomfort, finding the VR software boring, and disliking the chosen software</w:t>
      </w:r>
      <w:r>
        <w:rPr>
          <w:rFonts w:cstheme="minorHAnsi"/>
        </w:rPr>
        <w:t xml:space="preserve">. The one patient who did not tolerate the IVR at all complained of </w:t>
      </w:r>
      <w:r w:rsidRPr="00A81743">
        <w:rPr>
          <w:rFonts w:cstheme="minorHAnsi"/>
        </w:rPr>
        <w:t>worsening nausea that was present prior to the procedure.</w:t>
      </w:r>
      <w:r>
        <w:rPr>
          <w:rFonts w:cstheme="minorHAnsi"/>
        </w:rPr>
        <w:t xml:space="preserve"> No other adverse outcomes were reported.</w:t>
      </w:r>
    </w:p>
    <w:p w14:paraId="733AB87B" w14:textId="77777777" w:rsidR="00C00FC9" w:rsidRPr="00A81743" w:rsidRDefault="00C00FC9" w:rsidP="00C00FC9">
      <w:pPr>
        <w:pStyle w:val="NoSpacing"/>
        <w:spacing w:line="360" w:lineRule="auto"/>
        <w:rPr>
          <w:rFonts w:cstheme="minorHAnsi"/>
        </w:rPr>
      </w:pPr>
    </w:p>
    <w:p w14:paraId="2EC43521" w14:textId="77777777" w:rsidR="00C00FC9" w:rsidRPr="00A81743" w:rsidRDefault="00C00FC9" w:rsidP="00C00FC9">
      <w:pPr>
        <w:pStyle w:val="NoSpacing"/>
        <w:spacing w:line="360" w:lineRule="auto"/>
        <w:rPr>
          <w:rFonts w:cstheme="minorHAnsi"/>
        </w:rPr>
      </w:pPr>
      <w:r w:rsidRPr="00A81743">
        <w:rPr>
          <w:rFonts w:cstheme="minorHAnsi"/>
        </w:rPr>
        <w:t>Baseline demographics and case characteristics of both groups are li</w:t>
      </w:r>
      <w:r>
        <w:rPr>
          <w:rFonts w:cstheme="minorHAnsi"/>
        </w:rPr>
        <w:t>sted in Table 1</w:t>
      </w:r>
      <w:r w:rsidRPr="00A81743">
        <w:rPr>
          <w:rFonts w:cstheme="minorHAnsi"/>
        </w:rPr>
        <w:t>. The median age in the IVR group was younger by 5 years (p = 0.03). Gender, height, weight and BMI did not differ significantly across the two groups.</w:t>
      </w:r>
      <w:r w:rsidRPr="00A81743">
        <w:rPr>
          <w:rFonts w:eastAsia="PMingLiU" w:cstheme="minorHAnsi"/>
          <w:lang w:eastAsia="zh-HK"/>
        </w:rPr>
        <w:t xml:space="preserve"> </w:t>
      </w:r>
      <w:r w:rsidRPr="00A81743">
        <w:rPr>
          <w:rFonts w:cstheme="minorHAnsi"/>
        </w:rPr>
        <w:t xml:space="preserve">The cases included 20 total knee joint replacements, 23 total hip joint replacements, </w:t>
      </w:r>
      <w:r>
        <w:rPr>
          <w:rFonts w:cstheme="minorHAnsi"/>
        </w:rPr>
        <w:t>five</w:t>
      </w:r>
      <w:r w:rsidRPr="00A81743">
        <w:rPr>
          <w:rFonts w:cstheme="minorHAnsi"/>
        </w:rPr>
        <w:t xml:space="preserve"> anterior total hip joint replacements,</w:t>
      </w:r>
      <w:r>
        <w:rPr>
          <w:rFonts w:cstheme="minorHAnsi"/>
        </w:rPr>
        <w:t xml:space="preserve"> one</w:t>
      </w:r>
      <w:r w:rsidRPr="00A81743">
        <w:rPr>
          <w:rFonts w:cstheme="minorHAnsi"/>
        </w:rPr>
        <w:t xml:space="preserve"> hip hemiarthroplasty and </w:t>
      </w:r>
      <w:r>
        <w:rPr>
          <w:rFonts w:cstheme="minorHAnsi"/>
        </w:rPr>
        <w:t>one</w:t>
      </w:r>
      <w:r w:rsidRPr="00A81743">
        <w:rPr>
          <w:rFonts w:cstheme="minorHAnsi"/>
        </w:rPr>
        <w:t xml:space="preserve"> patellofemoral replacement. Case distribution, patient positioning and case duration was similar between the two groups. </w:t>
      </w:r>
    </w:p>
    <w:p w14:paraId="5EC8B8A5" w14:textId="77777777" w:rsidR="00CD3C9A" w:rsidRPr="00A81743" w:rsidRDefault="00CD3C9A" w:rsidP="00F23E7B">
      <w:pPr>
        <w:pStyle w:val="NoSpacing"/>
        <w:spacing w:line="360" w:lineRule="auto"/>
        <w:rPr>
          <w:rFonts w:cstheme="minorHAnsi"/>
        </w:rPr>
      </w:pPr>
    </w:p>
    <w:p w14:paraId="6D825392" w14:textId="2FD80590" w:rsidR="006F6535" w:rsidRPr="00346944" w:rsidRDefault="006F6535" w:rsidP="006F6535">
      <w:pPr>
        <w:pStyle w:val="NoSpacing"/>
        <w:spacing w:line="360" w:lineRule="auto"/>
        <w:rPr>
          <w:rFonts w:cstheme="minorHAnsi"/>
        </w:rPr>
      </w:pPr>
      <w:r w:rsidRPr="00346944">
        <w:rPr>
          <w:rFonts w:cstheme="minorHAnsi"/>
        </w:rPr>
        <w:t>A summary of propofol use can be seen in Table 2. Mean propofol use/hour over the entire procedure in the control group was 53.</w:t>
      </w:r>
      <w:r>
        <w:rPr>
          <w:rFonts w:cstheme="minorHAnsi"/>
        </w:rPr>
        <w:t>5</w:t>
      </w:r>
      <w:r w:rsidRPr="00346944">
        <w:rPr>
          <w:rFonts w:cstheme="minorHAnsi"/>
        </w:rPr>
        <w:t xml:space="preserve"> ± 9.7</w:t>
      </w:r>
      <w:r w:rsidR="00827C44">
        <w:rPr>
          <w:rFonts w:cstheme="minorHAnsi"/>
        </w:rPr>
        <w:t xml:space="preserve"> mg/hour compared with 52.3</w:t>
      </w:r>
      <w:r w:rsidRPr="00346944">
        <w:rPr>
          <w:rFonts w:cstheme="minorHAnsi"/>
        </w:rPr>
        <w:t xml:space="preserve"> ± 9.9 mg/hour in the IVR group (mean difference 1.1, 95 CI -26.7-29.0</w:t>
      </w:r>
      <w:r w:rsidRPr="00617B88">
        <w:rPr>
          <w:rFonts w:cstheme="minorHAnsi"/>
        </w:rPr>
        <w:t xml:space="preserve"> </w:t>
      </w:r>
      <w:r w:rsidR="00827C44">
        <w:rPr>
          <w:rFonts w:cstheme="minorHAnsi"/>
        </w:rPr>
        <w:t>p = 0.94</w:t>
      </w:r>
      <w:r w:rsidRPr="00346944">
        <w:rPr>
          <w:rFonts w:cstheme="minorHAnsi"/>
        </w:rPr>
        <w:t xml:space="preserve">). The total average use in the control and IVR groups was 107.8 ± 22.7 mg and 108.0 ± 22.8 mg respectively (p = .995, mean difference -0.2, CI -62.1-61.7). There was no significant difference in mean propofol use between the control and intervention arms </w:t>
      </w:r>
      <w:r>
        <w:rPr>
          <w:rFonts w:cstheme="minorHAnsi"/>
        </w:rPr>
        <w:t xml:space="preserve">at any time point. This is </w:t>
      </w:r>
      <w:r w:rsidRPr="00346944">
        <w:rPr>
          <w:rFonts w:cstheme="minorHAnsi"/>
        </w:rPr>
        <w:t>illustrated in Figure 2. The number of presses for propofol that were requested during the lockout period of the PCS was also recorded and was identical in both cases</w:t>
      </w:r>
      <w:r>
        <w:rPr>
          <w:rFonts w:cstheme="minorHAnsi"/>
        </w:rPr>
        <w:t xml:space="preserve"> (p = 0</w:t>
      </w:r>
      <w:r w:rsidRPr="00346944">
        <w:rPr>
          <w:rFonts w:cstheme="minorHAnsi"/>
        </w:rPr>
        <w:t>.</w:t>
      </w:r>
      <w:r>
        <w:rPr>
          <w:rFonts w:cstheme="minorHAnsi"/>
        </w:rPr>
        <w:t>66)</w:t>
      </w:r>
      <w:r w:rsidRPr="00346944">
        <w:rPr>
          <w:rFonts w:cstheme="minorHAnsi"/>
        </w:rPr>
        <w:t xml:space="preserve"> </w:t>
      </w:r>
      <w:proofErr w:type="gramStart"/>
      <w:r w:rsidRPr="00346944">
        <w:rPr>
          <w:rFonts w:cstheme="minorHAnsi"/>
        </w:rPr>
        <w:t>The</w:t>
      </w:r>
      <w:proofErr w:type="gramEnd"/>
      <w:r w:rsidRPr="00346944">
        <w:rPr>
          <w:rFonts w:cstheme="minorHAnsi"/>
        </w:rPr>
        <w:t xml:space="preserve"> median number of unmet requests over the course of the entire case was 0 </w:t>
      </w:r>
      <w:r>
        <w:rPr>
          <w:rFonts w:cstheme="minorHAnsi"/>
        </w:rPr>
        <w:t xml:space="preserve">in both control and intervention arms </w:t>
      </w:r>
      <w:r w:rsidR="00827C44">
        <w:rPr>
          <w:rFonts w:cstheme="minorHAnsi"/>
        </w:rPr>
        <w:t>(p = 0.61</w:t>
      </w:r>
      <w:r w:rsidRPr="00346944">
        <w:rPr>
          <w:rFonts w:cstheme="minorHAnsi"/>
        </w:rPr>
        <w:t xml:space="preserve">, IQR 0-4). </w:t>
      </w:r>
    </w:p>
    <w:p w14:paraId="6C5BE496" w14:textId="77777777" w:rsidR="000040D7" w:rsidRDefault="000040D7" w:rsidP="00F23E7B">
      <w:pPr>
        <w:pStyle w:val="NoSpacing"/>
        <w:spacing w:line="360" w:lineRule="auto"/>
        <w:rPr>
          <w:rFonts w:cstheme="minorHAnsi"/>
          <w:b/>
        </w:rPr>
      </w:pPr>
    </w:p>
    <w:p w14:paraId="629498A2" w14:textId="2060FB5C" w:rsidR="00CC1424" w:rsidRPr="00CC1424" w:rsidRDefault="00CC1424" w:rsidP="00F23E7B">
      <w:pPr>
        <w:pStyle w:val="NoSpacing"/>
        <w:spacing w:line="360" w:lineRule="auto"/>
        <w:rPr>
          <w:rFonts w:cstheme="minorHAnsi"/>
        </w:rPr>
      </w:pPr>
      <w:r>
        <w:rPr>
          <w:rFonts w:cstheme="minorHAnsi"/>
        </w:rPr>
        <w:t xml:space="preserve">When excluding patients who removed the goggles early, mean propofol use was </w:t>
      </w:r>
      <w:r w:rsidR="00EE60FE">
        <w:rPr>
          <w:rFonts w:cstheme="minorHAnsi"/>
        </w:rPr>
        <w:t xml:space="preserve">in the IVR group was 40.5 ± 11.4 mg/hour compared to </w:t>
      </w:r>
      <w:r w:rsidR="00EE60FE" w:rsidRPr="00346944">
        <w:rPr>
          <w:rFonts w:cstheme="minorHAnsi"/>
        </w:rPr>
        <w:t>53.</w:t>
      </w:r>
      <w:r w:rsidR="00EE60FE">
        <w:rPr>
          <w:rFonts w:cstheme="minorHAnsi"/>
        </w:rPr>
        <w:t>5</w:t>
      </w:r>
      <w:r w:rsidR="00EE60FE" w:rsidRPr="00346944">
        <w:rPr>
          <w:rFonts w:cstheme="minorHAnsi"/>
        </w:rPr>
        <w:t xml:space="preserve"> ± 9.7 mg/hour</w:t>
      </w:r>
      <w:r w:rsidR="00EE60FE">
        <w:rPr>
          <w:rFonts w:cstheme="minorHAnsi"/>
        </w:rPr>
        <w:t xml:space="preserve"> in the control group (mean difference 13.0, 95 CI -17.7 – 43.7, p = </w:t>
      </w:r>
      <w:r w:rsidR="00827C44">
        <w:rPr>
          <w:rFonts w:cstheme="minorHAnsi"/>
        </w:rPr>
        <w:t>0.40</w:t>
      </w:r>
      <w:r w:rsidR="00EE60FE">
        <w:rPr>
          <w:rFonts w:cstheme="minorHAnsi"/>
        </w:rPr>
        <w:t xml:space="preserve">). </w:t>
      </w:r>
      <w:r w:rsidR="00EE60FE" w:rsidRPr="00346944">
        <w:rPr>
          <w:rFonts w:cstheme="minorHAnsi"/>
        </w:rPr>
        <w:t>The total average use in the control and IVR groups was 107.8 ± 22.7 mg</w:t>
      </w:r>
      <w:r w:rsidR="00EE60FE">
        <w:rPr>
          <w:rFonts w:cstheme="minorHAnsi"/>
        </w:rPr>
        <w:t xml:space="preserve"> and 92.4</w:t>
      </w:r>
      <w:r w:rsidR="00EE60FE" w:rsidRPr="00346944">
        <w:rPr>
          <w:rFonts w:cstheme="minorHAnsi"/>
        </w:rPr>
        <w:t xml:space="preserve"> </w:t>
      </w:r>
      <w:r w:rsidR="00EE60FE">
        <w:rPr>
          <w:rFonts w:cstheme="minorHAnsi"/>
        </w:rPr>
        <w:t>± 31.0</w:t>
      </w:r>
      <w:r w:rsidR="00EE60FE" w:rsidRPr="00346944">
        <w:rPr>
          <w:rFonts w:cstheme="minorHAnsi"/>
        </w:rPr>
        <w:t xml:space="preserve"> mg respectively (p = </w:t>
      </w:r>
      <w:r w:rsidR="00827C44">
        <w:rPr>
          <w:rFonts w:cstheme="minorHAnsi"/>
        </w:rPr>
        <w:t>0</w:t>
      </w:r>
      <w:r w:rsidR="00EE60FE" w:rsidRPr="00346944">
        <w:rPr>
          <w:rFonts w:cstheme="minorHAnsi"/>
        </w:rPr>
        <w:t>.</w:t>
      </w:r>
      <w:r w:rsidR="00EE60FE">
        <w:rPr>
          <w:rFonts w:cstheme="minorHAnsi"/>
        </w:rPr>
        <w:t>67, mean difference 15.4, CI -61.1-9</w:t>
      </w:r>
      <w:r w:rsidR="00EE60FE" w:rsidRPr="00346944">
        <w:rPr>
          <w:rFonts w:cstheme="minorHAnsi"/>
        </w:rPr>
        <w:t>1</w:t>
      </w:r>
      <w:r w:rsidR="00EE60FE">
        <w:rPr>
          <w:rFonts w:cstheme="minorHAnsi"/>
        </w:rPr>
        <w:t>.9</w:t>
      </w:r>
      <w:r w:rsidR="00EE60FE" w:rsidRPr="00346944">
        <w:rPr>
          <w:rFonts w:cstheme="minorHAnsi"/>
        </w:rPr>
        <w:t>).</w:t>
      </w:r>
    </w:p>
    <w:p w14:paraId="5DFD8999" w14:textId="77777777" w:rsidR="00CC1424" w:rsidRPr="00122E9C" w:rsidRDefault="00CC1424" w:rsidP="00F23E7B">
      <w:pPr>
        <w:pStyle w:val="NoSpacing"/>
        <w:spacing w:line="360" w:lineRule="auto"/>
        <w:rPr>
          <w:rFonts w:cstheme="minorHAnsi"/>
          <w:b/>
        </w:rPr>
      </w:pPr>
    </w:p>
    <w:p w14:paraId="24737A8D" w14:textId="703A3243" w:rsidR="006F6535" w:rsidRDefault="00053BFD" w:rsidP="006F6535">
      <w:pPr>
        <w:pStyle w:val="NoSpacing"/>
        <w:spacing w:line="360" w:lineRule="auto"/>
      </w:pPr>
      <w:r>
        <w:rPr>
          <w:rFonts w:cstheme="minorHAnsi"/>
        </w:rPr>
        <w:t xml:space="preserve">Midazolam </w:t>
      </w:r>
      <w:r w:rsidR="006F6535" w:rsidRPr="00122E9C">
        <w:rPr>
          <w:rFonts w:cstheme="minorHAnsi"/>
        </w:rPr>
        <w:t xml:space="preserve">and fentanyl administration during the procedures are listed in Table 3. The </w:t>
      </w:r>
      <w:r w:rsidR="00382C86">
        <w:rPr>
          <w:rFonts w:cstheme="minorHAnsi"/>
        </w:rPr>
        <w:t>mean</w:t>
      </w:r>
      <w:r w:rsidR="006F6535" w:rsidRPr="00122E9C">
        <w:rPr>
          <w:rFonts w:cstheme="minorHAnsi"/>
        </w:rPr>
        <w:t xml:space="preserve"> fentanyl use in the IVR group and the control group over the course of the entire procedure was </w:t>
      </w:r>
      <w:r w:rsidR="003A35E2">
        <w:rPr>
          <w:rFonts w:cstheme="minorHAnsi"/>
        </w:rPr>
        <w:t>23.2 ± 6.5</w:t>
      </w:r>
      <w:r w:rsidR="006F6535" w:rsidRPr="00122E9C">
        <w:rPr>
          <w:rFonts w:cstheme="minorHAnsi"/>
        </w:rPr>
        <w:t xml:space="preserve"> mcg and </w:t>
      </w:r>
      <w:r w:rsidR="003A35E2">
        <w:rPr>
          <w:rFonts w:cstheme="minorHAnsi"/>
        </w:rPr>
        <w:t>41</w:t>
      </w:r>
      <w:r w:rsidR="006F6535" w:rsidRPr="00122E9C">
        <w:rPr>
          <w:rFonts w:cstheme="minorHAnsi"/>
        </w:rPr>
        <w:t xml:space="preserve"> </w:t>
      </w:r>
      <w:r w:rsidR="003A35E2">
        <w:rPr>
          <w:rFonts w:cstheme="minorHAnsi"/>
        </w:rPr>
        <w:t xml:space="preserve">± 7.2 </w:t>
      </w:r>
      <w:proofErr w:type="gramStart"/>
      <w:r w:rsidR="006F6535" w:rsidRPr="00122E9C">
        <w:rPr>
          <w:rFonts w:cstheme="minorHAnsi"/>
        </w:rPr>
        <w:t>mcg  respectively</w:t>
      </w:r>
      <w:proofErr w:type="gramEnd"/>
      <w:r w:rsidR="006F6535" w:rsidRPr="00122E9C">
        <w:rPr>
          <w:rFonts w:cstheme="minorHAnsi"/>
        </w:rPr>
        <w:t xml:space="preserve"> (p = 0.07). The me</w:t>
      </w:r>
      <w:r w:rsidR="003A35E2">
        <w:rPr>
          <w:rFonts w:cstheme="minorHAnsi"/>
        </w:rPr>
        <w:t xml:space="preserve">an </w:t>
      </w:r>
      <w:r w:rsidR="006F6535" w:rsidRPr="00122E9C">
        <w:rPr>
          <w:rFonts w:cstheme="minorHAnsi"/>
        </w:rPr>
        <w:t>midazolam use in the IVR group and the control group over the procedure was</w:t>
      </w:r>
      <w:r w:rsidR="003A35E2">
        <w:rPr>
          <w:rFonts w:cstheme="minorHAnsi"/>
        </w:rPr>
        <w:t xml:space="preserve"> 1.9 ± 0.3</w:t>
      </w:r>
      <w:r w:rsidR="006F6535" w:rsidRPr="00122E9C">
        <w:rPr>
          <w:rFonts w:cstheme="minorHAnsi"/>
        </w:rPr>
        <w:t xml:space="preserve"> mg and 2</w:t>
      </w:r>
      <w:r w:rsidR="003A35E2">
        <w:rPr>
          <w:rFonts w:cstheme="minorHAnsi"/>
        </w:rPr>
        <w:t>.4 ± 0.3</w:t>
      </w:r>
      <w:r w:rsidR="006F6535" w:rsidRPr="00122E9C">
        <w:rPr>
          <w:rFonts w:cstheme="minorHAnsi"/>
        </w:rPr>
        <w:t xml:space="preserve"> mg respectively (p = </w:t>
      </w:r>
      <w:r w:rsidR="006F6535">
        <w:rPr>
          <w:rFonts w:cstheme="minorHAnsi"/>
        </w:rPr>
        <w:t>0</w:t>
      </w:r>
      <w:r w:rsidR="006F6535" w:rsidRPr="00122E9C">
        <w:rPr>
          <w:rFonts w:cstheme="minorHAnsi"/>
        </w:rPr>
        <w:t>.</w:t>
      </w:r>
      <w:r w:rsidR="003A35E2">
        <w:rPr>
          <w:rFonts w:cstheme="minorHAnsi"/>
        </w:rPr>
        <w:t>13</w:t>
      </w:r>
      <w:r w:rsidR="006F6535" w:rsidRPr="00122E9C">
        <w:rPr>
          <w:rFonts w:cstheme="minorHAnsi"/>
        </w:rPr>
        <w:t xml:space="preserve">). </w:t>
      </w:r>
    </w:p>
    <w:p w14:paraId="32A385BA" w14:textId="3078CA25" w:rsidR="004E1544" w:rsidRPr="00A81743" w:rsidRDefault="004E1544" w:rsidP="00F23E7B">
      <w:pPr>
        <w:pStyle w:val="NoSpacing"/>
        <w:tabs>
          <w:tab w:val="left" w:pos="8940"/>
        </w:tabs>
        <w:spacing w:line="360" w:lineRule="auto"/>
        <w:rPr>
          <w:rFonts w:cstheme="minorHAnsi"/>
        </w:rPr>
      </w:pPr>
    </w:p>
    <w:p w14:paraId="010292C5" w14:textId="5477315C" w:rsidR="00405028" w:rsidRPr="00405028" w:rsidRDefault="00006E85" w:rsidP="00F23E7B">
      <w:pPr>
        <w:pStyle w:val="NoSpacing"/>
        <w:spacing w:line="360" w:lineRule="auto"/>
        <w:rPr>
          <w:rFonts w:cstheme="minorHAnsi"/>
        </w:rPr>
      </w:pPr>
      <w:r w:rsidRPr="00405028">
        <w:rPr>
          <w:rFonts w:cstheme="minorHAnsi"/>
        </w:rPr>
        <w:t xml:space="preserve">To </w:t>
      </w:r>
      <w:r w:rsidR="00A36603" w:rsidRPr="00405028">
        <w:rPr>
          <w:rFonts w:cstheme="minorHAnsi"/>
        </w:rPr>
        <w:t>determine</w:t>
      </w:r>
      <w:r w:rsidRPr="00405028">
        <w:rPr>
          <w:rFonts w:cstheme="minorHAnsi"/>
        </w:rPr>
        <w:t xml:space="preserve"> potential confounders </w:t>
      </w:r>
      <w:r w:rsidR="00534FF5" w:rsidRPr="00405028">
        <w:rPr>
          <w:rFonts w:cstheme="minorHAnsi"/>
        </w:rPr>
        <w:t>of</w:t>
      </w:r>
      <w:r w:rsidR="00A36603" w:rsidRPr="00405028">
        <w:rPr>
          <w:rFonts w:cstheme="minorHAnsi"/>
        </w:rPr>
        <w:t xml:space="preserve"> the relationship between </w:t>
      </w:r>
      <w:r w:rsidR="00F72755">
        <w:rPr>
          <w:rFonts w:cstheme="minorHAnsi"/>
        </w:rPr>
        <w:t>IVR</w:t>
      </w:r>
      <w:r w:rsidR="00A36603" w:rsidRPr="00405028">
        <w:rPr>
          <w:rFonts w:cstheme="minorHAnsi"/>
        </w:rPr>
        <w:t xml:space="preserve"> and propofol use, </w:t>
      </w:r>
      <w:r w:rsidR="00F773FF">
        <w:rPr>
          <w:rFonts w:cstheme="minorHAnsi"/>
        </w:rPr>
        <w:t>uni</w:t>
      </w:r>
      <w:r w:rsidR="006F6535">
        <w:rPr>
          <w:rFonts w:cstheme="minorHAnsi"/>
        </w:rPr>
        <w:t>variate analysis was undertaken</w:t>
      </w:r>
      <w:r w:rsidR="00823A21" w:rsidRPr="00405028">
        <w:rPr>
          <w:rFonts w:cstheme="minorHAnsi"/>
        </w:rPr>
        <w:t xml:space="preserve"> for independent association with </w:t>
      </w:r>
      <w:r w:rsidR="004E1544" w:rsidRPr="00405028">
        <w:rPr>
          <w:rFonts w:cstheme="minorHAnsi"/>
        </w:rPr>
        <w:t>propofol use</w:t>
      </w:r>
      <w:r w:rsidR="00823A21" w:rsidRPr="00405028">
        <w:rPr>
          <w:rFonts w:cstheme="minorHAnsi"/>
        </w:rPr>
        <w:t xml:space="preserve">, as listed in Table </w:t>
      </w:r>
      <w:r w:rsidR="000040D7">
        <w:rPr>
          <w:rFonts w:cstheme="minorHAnsi"/>
        </w:rPr>
        <w:t>4</w:t>
      </w:r>
      <w:r w:rsidR="00823A21" w:rsidRPr="00405028">
        <w:rPr>
          <w:rFonts w:cstheme="minorHAnsi"/>
        </w:rPr>
        <w:t xml:space="preserve">. </w:t>
      </w:r>
      <w:r w:rsidR="00D1425F" w:rsidRPr="00405028">
        <w:rPr>
          <w:rFonts w:cstheme="minorHAnsi"/>
        </w:rPr>
        <w:t xml:space="preserve">Greater propofol use was associated with </w:t>
      </w:r>
      <w:r w:rsidR="00A36603" w:rsidRPr="00405028">
        <w:rPr>
          <w:rFonts w:cstheme="minorHAnsi"/>
        </w:rPr>
        <w:t>increase in weight and BMI (p = 0.06, p = 0.0</w:t>
      </w:r>
      <w:r w:rsidR="00A36603" w:rsidRPr="00405028">
        <w:rPr>
          <w:rFonts w:eastAsia="PMingLiU" w:cstheme="minorHAnsi"/>
          <w:lang w:eastAsia="zh-HK"/>
        </w:rPr>
        <w:t>4</w:t>
      </w:r>
      <w:r w:rsidR="00A36603" w:rsidRPr="00405028">
        <w:rPr>
          <w:rFonts w:cstheme="minorHAnsi"/>
        </w:rPr>
        <w:t xml:space="preserve"> respectively)</w:t>
      </w:r>
      <w:r w:rsidR="00757BB5" w:rsidRPr="00405028">
        <w:rPr>
          <w:rFonts w:cstheme="minorHAnsi"/>
        </w:rPr>
        <w:t xml:space="preserve"> and </w:t>
      </w:r>
      <w:r w:rsidR="00A36603" w:rsidRPr="00405028">
        <w:rPr>
          <w:rFonts w:cstheme="minorHAnsi"/>
        </w:rPr>
        <w:t xml:space="preserve">higher pre-procedure Emotion-B </w:t>
      </w:r>
      <w:r w:rsidR="00ED09C9" w:rsidRPr="00405028">
        <w:rPr>
          <w:rFonts w:cstheme="minorHAnsi"/>
        </w:rPr>
        <w:t xml:space="preserve">(negative emotion) </w:t>
      </w:r>
      <w:r w:rsidR="00A36603" w:rsidRPr="00405028">
        <w:rPr>
          <w:rFonts w:cstheme="minorHAnsi"/>
        </w:rPr>
        <w:t>score (p = 0.0</w:t>
      </w:r>
      <w:r w:rsidR="00A36603" w:rsidRPr="00405028">
        <w:rPr>
          <w:rFonts w:eastAsia="PMingLiU" w:cstheme="minorHAnsi"/>
          <w:lang w:eastAsia="zh-HK"/>
        </w:rPr>
        <w:t>2</w:t>
      </w:r>
      <w:r w:rsidR="00A36603" w:rsidRPr="00405028">
        <w:rPr>
          <w:rFonts w:cstheme="minorHAnsi"/>
        </w:rPr>
        <w:t>)</w:t>
      </w:r>
      <w:r w:rsidR="00757BB5" w:rsidRPr="00405028">
        <w:rPr>
          <w:rFonts w:cstheme="minorHAnsi"/>
        </w:rPr>
        <w:t>. H</w:t>
      </w:r>
      <w:r w:rsidR="00A36603" w:rsidRPr="00405028">
        <w:rPr>
          <w:rFonts w:cstheme="minorHAnsi"/>
        </w:rPr>
        <w:t>igher intra-operative fentanyl dose (p = 0.0</w:t>
      </w:r>
      <w:r w:rsidR="00A36603" w:rsidRPr="00405028">
        <w:rPr>
          <w:rFonts w:eastAsia="PMingLiU" w:cstheme="minorHAnsi"/>
          <w:lang w:eastAsia="zh-HK"/>
        </w:rPr>
        <w:t>7</w:t>
      </w:r>
      <w:r w:rsidR="00A36603" w:rsidRPr="00405028">
        <w:rPr>
          <w:rFonts w:cstheme="minorHAnsi"/>
        </w:rPr>
        <w:t>), and procedures in the lateral position (p = 0.06)</w:t>
      </w:r>
      <w:r w:rsidR="00757BB5" w:rsidRPr="00405028">
        <w:rPr>
          <w:rFonts w:cstheme="minorHAnsi"/>
        </w:rPr>
        <w:t xml:space="preserve"> </w:t>
      </w:r>
      <w:r w:rsidR="00C65CB4" w:rsidRPr="00405028">
        <w:rPr>
          <w:rFonts w:cstheme="minorHAnsi"/>
        </w:rPr>
        <w:t>were</w:t>
      </w:r>
      <w:r w:rsidR="00D65043" w:rsidRPr="00405028">
        <w:rPr>
          <w:rFonts w:cstheme="minorHAnsi"/>
        </w:rPr>
        <w:t xml:space="preserve"> </w:t>
      </w:r>
      <w:r w:rsidR="00757BB5" w:rsidRPr="00405028">
        <w:rPr>
          <w:rFonts w:cstheme="minorHAnsi"/>
        </w:rPr>
        <w:t xml:space="preserve">also included given they </w:t>
      </w:r>
      <w:r w:rsidR="00C65CB4" w:rsidRPr="00405028">
        <w:rPr>
          <w:rFonts w:cstheme="minorHAnsi"/>
        </w:rPr>
        <w:t xml:space="preserve">approached </w:t>
      </w:r>
      <w:r w:rsidR="00757BB5" w:rsidRPr="00405028">
        <w:rPr>
          <w:rFonts w:cstheme="minorHAnsi"/>
        </w:rPr>
        <w:t>significance</w:t>
      </w:r>
      <w:r w:rsidR="00A471D4">
        <w:rPr>
          <w:rFonts w:cstheme="minorHAnsi"/>
        </w:rPr>
        <w:t xml:space="preserve"> and there was a mechanistic probability in their ability to confound</w:t>
      </w:r>
      <w:r w:rsidR="00A36603" w:rsidRPr="00405028">
        <w:rPr>
          <w:rFonts w:cstheme="minorHAnsi"/>
        </w:rPr>
        <w:t>.</w:t>
      </w:r>
      <w:r w:rsidR="000F2371" w:rsidRPr="00405028">
        <w:rPr>
          <w:rFonts w:cstheme="minorHAnsi"/>
        </w:rPr>
        <w:t xml:space="preserve"> </w:t>
      </w:r>
      <w:r w:rsidR="00A36603" w:rsidRPr="00405028">
        <w:rPr>
          <w:rFonts w:cstheme="minorHAnsi"/>
        </w:rPr>
        <w:t xml:space="preserve">Each covariate was adjusted for individually in </w:t>
      </w:r>
      <w:r w:rsidR="00ED09C9" w:rsidRPr="00405028">
        <w:rPr>
          <w:rFonts w:cstheme="minorHAnsi"/>
        </w:rPr>
        <w:t>a</w:t>
      </w:r>
      <w:r w:rsidR="00A36603" w:rsidRPr="00405028">
        <w:rPr>
          <w:rFonts w:cstheme="minorHAnsi"/>
        </w:rPr>
        <w:t xml:space="preserve"> negative binomial regression model with </w:t>
      </w:r>
      <w:r w:rsidR="00F72755">
        <w:rPr>
          <w:rFonts w:cstheme="minorHAnsi"/>
        </w:rPr>
        <w:t>IVR</w:t>
      </w:r>
      <w:r w:rsidR="00A36603" w:rsidRPr="00405028">
        <w:rPr>
          <w:rFonts w:cstheme="minorHAnsi"/>
        </w:rPr>
        <w:t xml:space="preserve">, which identified intra-operative </w:t>
      </w:r>
      <w:r w:rsidR="00B75A25" w:rsidRPr="00405028">
        <w:rPr>
          <w:rFonts w:cstheme="minorHAnsi"/>
        </w:rPr>
        <w:t>f</w:t>
      </w:r>
      <w:r w:rsidR="00A36603" w:rsidRPr="00405028">
        <w:rPr>
          <w:rFonts w:cstheme="minorHAnsi"/>
        </w:rPr>
        <w:t>entanyl use as having the largest impact.</w:t>
      </w:r>
      <w:r w:rsidR="00405028" w:rsidRPr="00405028">
        <w:rPr>
          <w:rFonts w:cstheme="minorHAnsi"/>
        </w:rPr>
        <w:t xml:space="preserve"> Following adjustment for these confounders, a negative binomial regression model demonstrated </w:t>
      </w:r>
      <w:r w:rsidR="004F5EF2">
        <w:rPr>
          <w:rFonts w:cstheme="minorHAnsi"/>
        </w:rPr>
        <w:t xml:space="preserve">a non-significant result of </w:t>
      </w:r>
      <w:r w:rsidR="00405028" w:rsidRPr="00405028">
        <w:rPr>
          <w:rFonts w:cstheme="minorHAnsi"/>
        </w:rPr>
        <w:t xml:space="preserve">the VR group using 26% less propofol compared with the control group (CI </w:t>
      </w:r>
      <w:r w:rsidR="00405028" w:rsidRPr="00405028">
        <w:rPr>
          <w:rFonts w:eastAsia="PMingLiU" w:cstheme="minorHAnsi"/>
          <w:lang w:eastAsia="zh-HK"/>
        </w:rPr>
        <w:t>-74%</w:t>
      </w:r>
      <w:r w:rsidR="00405028" w:rsidRPr="00405028">
        <w:rPr>
          <w:rFonts w:cstheme="minorHAnsi"/>
        </w:rPr>
        <w:t xml:space="preserve"> – </w:t>
      </w:r>
      <w:r w:rsidR="00405028" w:rsidRPr="00405028">
        <w:rPr>
          <w:rFonts w:eastAsia="PMingLiU" w:cstheme="minorHAnsi"/>
          <w:lang w:eastAsia="zh-HK"/>
        </w:rPr>
        <w:t>111%</w:t>
      </w:r>
      <w:r w:rsidR="00405028" w:rsidRPr="00405028">
        <w:rPr>
          <w:rFonts w:cstheme="minorHAnsi"/>
        </w:rPr>
        <w:t xml:space="preserve">). The final model adjusted for fentanyl use alone, and </w:t>
      </w:r>
      <w:r w:rsidR="004F5EF2">
        <w:rPr>
          <w:rFonts w:cstheme="minorHAnsi"/>
        </w:rPr>
        <w:t xml:space="preserve">again </w:t>
      </w:r>
      <w:r w:rsidR="00405028" w:rsidRPr="00405028">
        <w:rPr>
          <w:rFonts w:cstheme="minorHAnsi"/>
        </w:rPr>
        <w:t xml:space="preserve">found no significant difference in propofol use between the two treatment groups, </w:t>
      </w:r>
      <w:r w:rsidR="009A4256">
        <w:rPr>
          <w:rFonts w:cstheme="minorHAnsi"/>
        </w:rPr>
        <w:t xml:space="preserve">though </w:t>
      </w:r>
      <w:r w:rsidR="00405028" w:rsidRPr="00405028">
        <w:rPr>
          <w:rFonts w:cstheme="minorHAnsi"/>
        </w:rPr>
        <w:t xml:space="preserve">with subjects in the VR group using 22% less propofol (CI -72% – 113%). </w:t>
      </w:r>
    </w:p>
    <w:p w14:paraId="2A60B431" w14:textId="77777777" w:rsidR="002C21C9" w:rsidRDefault="002C21C9" w:rsidP="00F23E7B">
      <w:pPr>
        <w:pStyle w:val="NoSpacing"/>
        <w:spacing w:line="360" w:lineRule="auto"/>
        <w:rPr>
          <w:rFonts w:cstheme="minorHAnsi"/>
        </w:rPr>
      </w:pPr>
    </w:p>
    <w:p w14:paraId="1896FC52" w14:textId="553FADA2" w:rsidR="005B6452" w:rsidRPr="00A81743" w:rsidRDefault="005B6452" w:rsidP="00F23E7B">
      <w:pPr>
        <w:pStyle w:val="NoSpacing"/>
        <w:spacing w:line="360" w:lineRule="auto"/>
        <w:rPr>
          <w:rFonts w:cstheme="minorHAnsi"/>
        </w:rPr>
      </w:pPr>
      <w:r w:rsidRPr="00A81743">
        <w:rPr>
          <w:rFonts w:cstheme="minorHAnsi"/>
        </w:rPr>
        <w:t xml:space="preserve">The median change in subjective scores from the QoR-40 </w:t>
      </w:r>
      <w:r w:rsidR="001C0F50" w:rsidRPr="00A81743">
        <w:rPr>
          <w:rFonts w:eastAsia="PMingLiU" w:cstheme="minorHAnsi"/>
          <w:lang w:eastAsia="zh-HK"/>
        </w:rPr>
        <w:t>is</w:t>
      </w:r>
      <w:r w:rsidR="00630BAA">
        <w:rPr>
          <w:rFonts w:cstheme="minorHAnsi"/>
        </w:rPr>
        <w:t xml:space="preserve"> listed in the supplemental material</w:t>
      </w:r>
      <w:r w:rsidRPr="00A81743">
        <w:rPr>
          <w:rFonts w:cstheme="minorHAnsi"/>
        </w:rPr>
        <w:t>.</w:t>
      </w:r>
      <w:r w:rsidR="003060BD" w:rsidRPr="00A81743">
        <w:rPr>
          <w:rFonts w:cstheme="minorHAnsi"/>
        </w:rPr>
        <w:t xml:space="preserve"> There was no significant difference in changes of comfort score, emotion score, symptom score, emotion-B score (negative emotion) or pain score from before to after surgery. There was a</w:t>
      </w:r>
      <w:r w:rsidR="00D53931">
        <w:rPr>
          <w:rFonts w:cstheme="minorHAnsi"/>
        </w:rPr>
        <w:t xml:space="preserve"> non-significant trend towards</w:t>
      </w:r>
      <w:r w:rsidR="003060BD" w:rsidRPr="00A81743">
        <w:rPr>
          <w:rFonts w:cstheme="minorHAnsi"/>
        </w:rPr>
        <w:t xml:space="preserve"> </w:t>
      </w:r>
      <w:r w:rsidR="00D53931">
        <w:rPr>
          <w:rFonts w:cstheme="minorHAnsi"/>
        </w:rPr>
        <w:t xml:space="preserve">a decrease in confusion score in the control group, with </w:t>
      </w:r>
      <w:r w:rsidR="00FD14FE" w:rsidRPr="00A81743">
        <w:rPr>
          <w:rFonts w:cstheme="minorHAnsi"/>
        </w:rPr>
        <w:t>3</w:t>
      </w:r>
      <w:r w:rsidR="003060BD" w:rsidRPr="00A81743">
        <w:rPr>
          <w:rFonts w:cstheme="minorHAnsi"/>
        </w:rPr>
        <w:t xml:space="preserve"> </w:t>
      </w:r>
      <w:r w:rsidR="002A59B3" w:rsidRPr="00A81743">
        <w:rPr>
          <w:rFonts w:cstheme="minorHAnsi"/>
        </w:rPr>
        <w:t>patients</w:t>
      </w:r>
      <w:r w:rsidR="003060BD" w:rsidRPr="00A81743">
        <w:rPr>
          <w:rFonts w:cstheme="minorHAnsi"/>
        </w:rPr>
        <w:t xml:space="preserve"> reporting a decrease, while all </w:t>
      </w:r>
      <w:r w:rsidR="002A59B3" w:rsidRPr="00A81743">
        <w:rPr>
          <w:rFonts w:cstheme="minorHAnsi"/>
        </w:rPr>
        <w:t>patients</w:t>
      </w:r>
      <w:r w:rsidR="003060BD" w:rsidRPr="00A81743">
        <w:rPr>
          <w:rFonts w:cstheme="minorHAnsi"/>
        </w:rPr>
        <w:t xml:space="preserve"> in the </w:t>
      </w:r>
      <w:r w:rsidR="00FD14FE" w:rsidRPr="00A81743">
        <w:rPr>
          <w:rFonts w:cstheme="minorHAnsi"/>
        </w:rPr>
        <w:t>I</w:t>
      </w:r>
      <w:r w:rsidR="003060BD" w:rsidRPr="00A81743">
        <w:rPr>
          <w:rFonts w:cstheme="minorHAnsi"/>
        </w:rPr>
        <w:t xml:space="preserve">VR group reported no change (p = 0.07). The median overall </w:t>
      </w:r>
      <w:r w:rsidR="00D53931">
        <w:rPr>
          <w:rFonts w:cstheme="minorHAnsi"/>
        </w:rPr>
        <w:t xml:space="preserve">QoR-40 </w:t>
      </w:r>
      <w:r w:rsidR="003060BD" w:rsidRPr="00A81743">
        <w:rPr>
          <w:rFonts w:cstheme="minorHAnsi"/>
        </w:rPr>
        <w:t xml:space="preserve">score change was </w:t>
      </w:r>
      <w:r w:rsidR="00A00418" w:rsidRPr="00A81743">
        <w:rPr>
          <w:rFonts w:cstheme="minorHAnsi"/>
        </w:rPr>
        <w:t>-7 in both groups.</w:t>
      </w:r>
    </w:p>
    <w:p w14:paraId="56C69BA2" w14:textId="77777777" w:rsidR="00D53931" w:rsidRPr="00A81743" w:rsidRDefault="00D53931" w:rsidP="00F23E7B">
      <w:pPr>
        <w:pStyle w:val="NoSpacing"/>
        <w:spacing w:line="360" w:lineRule="auto"/>
        <w:rPr>
          <w:rFonts w:cstheme="minorHAnsi"/>
        </w:rPr>
      </w:pPr>
    </w:p>
    <w:p w14:paraId="7234342D" w14:textId="32EFE510" w:rsidR="003060BD" w:rsidRPr="00A81743" w:rsidRDefault="003060BD" w:rsidP="00F23E7B">
      <w:pPr>
        <w:pStyle w:val="NoSpacing"/>
        <w:spacing w:line="360" w:lineRule="auto"/>
        <w:rPr>
          <w:rFonts w:cstheme="minorHAnsi"/>
        </w:rPr>
      </w:pPr>
      <w:r w:rsidRPr="00A81743">
        <w:rPr>
          <w:rFonts w:cstheme="minorHAnsi"/>
        </w:rPr>
        <w:t xml:space="preserve">Additional questions regarding patient satisfaction found that all </w:t>
      </w:r>
      <w:r w:rsidR="002A59B3" w:rsidRPr="00A81743">
        <w:rPr>
          <w:rFonts w:cstheme="minorHAnsi"/>
        </w:rPr>
        <w:t>patients</w:t>
      </w:r>
      <w:r w:rsidRPr="00A81743">
        <w:rPr>
          <w:rFonts w:cstheme="minorHAnsi"/>
        </w:rPr>
        <w:t xml:space="preserve"> in both treatment groups were satisfied </w:t>
      </w:r>
      <w:r w:rsidR="006F6535">
        <w:rPr>
          <w:rFonts w:cstheme="minorHAnsi"/>
        </w:rPr>
        <w:t>with their experience. All but one</w:t>
      </w:r>
      <w:r w:rsidRPr="00A81743">
        <w:rPr>
          <w:rFonts w:cstheme="minorHAnsi"/>
        </w:rPr>
        <w:t xml:space="preserve"> </w:t>
      </w:r>
      <w:r w:rsidR="002A59B3" w:rsidRPr="00A81743">
        <w:rPr>
          <w:rFonts w:cstheme="minorHAnsi"/>
        </w:rPr>
        <w:t>patient</w:t>
      </w:r>
      <w:r w:rsidRPr="00A81743">
        <w:rPr>
          <w:rFonts w:cstheme="minorHAnsi"/>
        </w:rPr>
        <w:t xml:space="preserve"> using IVR distraction would use it again. The one </w:t>
      </w:r>
      <w:r w:rsidR="002A59B3" w:rsidRPr="00A81743">
        <w:rPr>
          <w:rFonts w:cstheme="minorHAnsi"/>
        </w:rPr>
        <w:t>patient</w:t>
      </w:r>
      <w:r w:rsidRPr="00A81743">
        <w:rPr>
          <w:rFonts w:cstheme="minorHAnsi"/>
        </w:rPr>
        <w:t xml:space="preserve"> who would not use IVR again found use of the HMD to be “claustrophobic” but still reported satisfaction with trying the experience. The majority of comments from </w:t>
      </w:r>
      <w:r w:rsidR="002A59B3" w:rsidRPr="00A81743">
        <w:rPr>
          <w:rFonts w:cstheme="minorHAnsi"/>
        </w:rPr>
        <w:t>patients</w:t>
      </w:r>
      <w:r w:rsidRPr="00A81743">
        <w:rPr>
          <w:rFonts w:cstheme="minorHAnsi"/>
        </w:rPr>
        <w:t xml:space="preserve"> were positive, including “It helped take my mind off the surgery”, “It was very relaxing”, “I felt like I was in a beautiful place” and “I really enjoyed that”. Other comments indicated </w:t>
      </w:r>
      <w:r w:rsidR="002A59B3" w:rsidRPr="00A81743">
        <w:rPr>
          <w:rFonts w:cstheme="minorHAnsi"/>
        </w:rPr>
        <w:t>patients</w:t>
      </w:r>
      <w:r w:rsidRPr="00A81743">
        <w:rPr>
          <w:rFonts w:cstheme="minorHAnsi"/>
        </w:rPr>
        <w:t xml:space="preserve"> wanted more choice in </w:t>
      </w:r>
      <w:r w:rsidR="00FD14FE" w:rsidRPr="00A81743">
        <w:rPr>
          <w:rFonts w:cstheme="minorHAnsi"/>
        </w:rPr>
        <w:t>I</w:t>
      </w:r>
      <w:r w:rsidRPr="00A81743">
        <w:rPr>
          <w:rFonts w:cstheme="minorHAnsi"/>
        </w:rPr>
        <w:t xml:space="preserve">VR experience, “It was fantastic, though a bit boring” and “It was a little repetitive, I wanted to try more”. </w:t>
      </w:r>
    </w:p>
    <w:p w14:paraId="15AE9883" w14:textId="77777777" w:rsidR="00827C44" w:rsidRDefault="00827C44" w:rsidP="00F23E7B">
      <w:pPr>
        <w:pStyle w:val="NoSpacing"/>
        <w:spacing w:line="360" w:lineRule="auto"/>
        <w:rPr>
          <w:rFonts w:cstheme="minorHAnsi"/>
        </w:rPr>
      </w:pPr>
    </w:p>
    <w:p w14:paraId="547967AC" w14:textId="0E1E33BA" w:rsidR="00F66B21" w:rsidRPr="00F66B21" w:rsidRDefault="00F66B21" w:rsidP="00F23E7B">
      <w:pPr>
        <w:pStyle w:val="NoSpacing"/>
        <w:spacing w:line="360" w:lineRule="auto"/>
        <w:rPr>
          <w:rFonts w:cstheme="minorHAnsi"/>
        </w:rPr>
      </w:pPr>
      <w:r>
        <w:rPr>
          <w:rFonts w:cstheme="minorHAnsi"/>
        </w:rPr>
        <w:t xml:space="preserve">No </w:t>
      </w:r>
      <w:r w:rsidR="00F773FF">
        <w:rPr>
          <w:rFonts w:cstheme="minorHAnsi"/>
        </w:rPr>
        <w:t xml:space="preserve">major </w:t>
      </w:r>
      <w:r>
        <w:rPr>
          <w:rFonts w:cstheme="minorHAnsi"/>
        </w:rPr>
        <w:t xml:space="preserve">adverse outcomes were reported that were directly attributable to the </w:t>
      </w:r>
      <w:r w:rsidR="00F72755">
        <w:rPr>
          <w:rFonts w:cstheme="minorHAnsi"/>
        </w:rPr>
        <w:t>IVR</w:t>
      </w:r>
      <w:r>
        <w:rPr>
          <w:rFonts w:cstheme="minorHAnsi"/>
        </w:rPr>
        <w:t xml:space="preserve">. There was one episode of nausea that was pre-existing before institution of IVR that necessitated removal of the goggles. There were no documented episodes of hypotension, bradycardia, or injection site pain associated with the administration of </w:t>
      </w:r>
      <w:r w:rsidR="00F72755">
        <w:rPr>
          <w:rFonts w:cstheme="minorHAnsi"/>
        </w:rPr>
        <w:t>PCS</w:t>
      </w:r>
      <w:r>
        <w:rPr>
          <w:rFonts w:cstheme="minorHAnsi"/>
        </w:rPr>
        <w:t>.</w:t>
      </w:r>
    </w:p>
    <w:p w14:paraId="2739D351" w14:textId="77777777" w:rsidR="003060BD" w:rsidRPr="00A81743" w:rsidRDefault="003060BD" w:rsidP="00F23E7B">
      <w:pPr>
        <w:pStyle w:val="NoSpacing"/>
        <w:spacing w:line="360" w:lineRule="auto"/>
        <w:rPr>
          <w:rFonts w:cstheme="minorHAnsi"/>
        </w:rPr>
      </w:pPr>
    </w:p>
    <w:p w14:paraId="3C76FDC5" w14:textId="77777777" w:rsidR="00791847" w:rsidRPr="00A81743" w:rsidRDefault="00791847" w:rsidP="00F23E7B">
      <w:pPr>
        <w:spacing w:line="360" w:lineRule="auto"/>
        <w:rPr>
          <w:rFonts w:cstheme="minorHAnsi"/>
          <w:b/>
        </w:rPr>
      </w:pPr>
      <w:r w:rsidRPr="00A81743">
        <w:rPr>
          <w:rFonts w:cstheme="minorHAnsi"/>
          <w:b/>
        </w:rPr>
        <w:br w:type="page"/>
      </w:r>
    </w:p>
    <w:p w14:paraId="78B69BA8" w14:textId="77777777" w:rsidR="0024291C" w:rsidRPr="003A0856" w:rsidRDefault="0024291C" w:rsidP="00F23E7B">
      <w:pPr>
        <w:spacing w:after="0" w:line="360" w:lineRule="auto"/>
        <w:contextualSpacing/>
        <w:rPr>
          <w:b/>
        </w:rPr>
      </w:pPr>
      <w:r w:rsidRPr="003A0856">
        <w:rPr>
          <w:b/>
        </w:rPr>
        <w:lastRenderedPageBreak/>
        <w:t>Discussion</w:t>
      </w:r>
    </w:p>
    <w:p w14:paraId="107E7B43" w14:textId="77777777" w:rsidR="0024291C" w:rsidRDefault="0024291C" w:rsidP="00F23E7B">
      <w:pPr>
        <w:spacing w:after="0" w:line="360" w:lineRule="auto"/>
        <w:contextualSpacing/>
      </w:pPr>
    </w:p>
    <w:p w14:paraId="5F4B7D26" w14:textId="47C91382" w:rsidR="0024291C" w:rsidRPr="00A81743" w:rsidRDefault="004E5D01" w:rsidP="00F23E7B">
      <w:pPr>
        <w:spacing w:after="0" w:line="360" w:lineRule="auto"/>
        <w:contextualSpacing/>
        <w:rPr>
          <w:rFonts w:cstheme="minorHAnsi"/>
        </w:rPr>
      </w:pPr>
      <w:r w:rsidRPr="00A81743">
        <w:rPr>
          <w:rFonts w:cstheme="minorHAnsi"/>
          <w:bCs/>
        </w:rPr>
        <w:t>Th</w:t>
      </w:r>
      <w:r>
        <w:rPr>
          <w:rFonts w:cstheme="minorHAnsi"/>
          <w:bCs/>
        </w:rPr>
        <w:t>e</w:t>
      </w:r>
      <w:r w:rsidRPr="00A81743">
        <w:rPr>
          <w:rFonts w:cstheme="minorHAnsi"/>
          <w:bCs/>
        </w:rPr>
        <w:t xml:space="preserve"> </w:t>
      </w:r>
      <w:r w:rsidR="0024291C" w:rsidRPr="00A81743">
        <w:rPr>
          <w:rFonts w:cstheme="minorHAnsi"/>
          <w:bCs/>
        </w:rPr>
        <w:t>current study aim</w:t>
      </w:r>
      <w:r w:rsidR="0024291C">
        <w:rPr>
          <w:rFonts w:cstheme="minorHAnsi"/>
          <w:bCs/>
        </w:rPr>
        <w:t>ed</w:t>
      </w:r>
      <w:r w:rsidR="0024291C" w:rsidRPr="00A81743">
        <w:rPr>
          <w:rFonts w:cstheme="minorHAnsi"/>
          <w:bCs/>
        </w:rPr>
        <w:t xml:space="preserve"> to address the limitations</w:t>
      </w:r>
      <w:r w:rsidR="0024291C">
        <w:rPr>
          <w:rFonts w:cstheme="minorHAnsi"/>
          <w:bCs/>
        </w:rPr>
        <w:t xml:space="preserve"> </w:t>
      </w:r>
      <w:r w:rsidR="0024562A">
        <w:rPr>
          <w:rFonts w:cstheme="minorHAnsi"/>
          <w:bCs/>
        </w:rPr>
        <w:t xml:space="preserve">of </w:t>
      </w:r>
      <w:r w:rsidR="0024291C">
        <w:rPr>
          <w:rFonts w:cstheme="minorHAnsi"/>
          <w:bCs/>
        </w:rPr>
        <w:t>recent IVR studies,</w:t>
      </w:r>
      <w:r w:rsidR="0024291C" w:rsidRPr="00A81743">
        <w:rPr>
          <w:rFonts w:cstheme="minorHAnsi"/>
          <w:bCs/>
        </w:rPr>
        <w:t xml:space="preserve"> </w:t>
      </w:r>
      <w:r w:rsidR="0024291C">
        <w:rPr>
          <w:rFonts w:cstheme="minorHAnsi"/>
          <w:bCs/>
        </w:rPr>
        <w:t xml:space="preserve">by attempting to eliminate the anesthesiologist as a source of potential bias by combining IVR with </w:t>
      </w:r>
      <w:r>
        <w:rPr>
          <w:rFonts w:cstheme="minorHAnsi"/>
          <w:bCs/>
        </w:rPr>
        <w:t>PCS</w:t>
      </w:r>
      <w:r w:rsidR="0024291C">
        <w:rPr>
          <w:rFonts w:cstheme="minorHAnsi"/>
          <w:bCs/>
        </w:rPr>
        <w:t xml:space="preserve">. </w:t>
      </w:r>
      <w:r w:rsidR="0024291C">
        <w:rPr>
          <w:rFonts w:cstheme="minorHAnsi"/>
        </w:rPr>
        <w:t>There was</w:t>
      </w:r>
      <w:r w:rsidR="0024291C" w:rsidRPr="00A81743">
        <w:rPr>
          <w:rFonts w:cstheme="minorHAnsi"/>
        </w:rPr>
        <w:t xml:space="preserve"> no significant difference in patient-controlled </w:t>
      </w:r>
      <w:r w:rsidR="0024291C" w:rsidRPr="00A81743">
        <w:rPr>
          <w:rFonts w:eastAsia="PMingLiU" w:cstheme="minorHAnsi"/>
          <w:lang w:eastAsia="zh-HK"/>
        </w:rPr>
        <w:t>propofol</w:t>
      </w:r>
      <w:r w:rsidR="0024291C" w:rsidRPr="00A81743">
        <w:rPr>
          <w:rFonts w:cstheme="minorHAnsi"/>
        </w:rPr>
        <w:t xml:space="preserve"> use during joint replacement surgery under regional an</w:t>
      </w:r>
      <w:r w:rsidR="00950A1E">
        <w:rPr>
          <w:rFonts w:cstheme="minorHAnsi"/>
        </w:rPr>
        <w:t>e</w:t>
      </w:r>
      <w:r w:rsidR="0024291C" w:rsidRPr="00A81743">
        <w:rPr>
          <w:rFonts w:cstheme="minorHAnsi"/>
        </w:rPr>
        <w:t xml:space="preserve">sthesia when using </w:t>
      </w:r>
      <w:r w:rsidR="00F72755">
        <w:rPr>
          <w:rFonts w:cstheme="minorHAnsi"/>
        </w:rPr>
        <w:t>IVR</w:t>
      </w:r>
      <w:r w:rsidR="0024291C" w:rsidRPr="00A81743">
        <w:rPr>
          <w:rFonts w:cstheme="minorHAnsi"/>
        </w:rPr>
        <w:t xml:space="preserve"> compared with no distraction. </w:t>
      </w:r>
      <w:r w:rsidR="00F72755">
        <w:rPr>
          <w:rFonts w:cstheme="minorHAnsi"/>
        </w:rPr>
        <w:t>IVR</w:t>
      </w:r>
      <w:r w:rsidR="0024291C" w:rsidRPr="00A81743">
        <w:rPr>
          <w:rFonts w:cstheme="minorHAnsi"/>
        </w:rPr>
        <w:t xml:space="preserve"> did not affect the pattern of propofol use, with no significant difference observed in </w:t>
      </w:r>
      <w:r w:rsidR="0024291C">
        <w:rPr>
          <w:rFonts w:cstheme="minorHAnsi"/>
        </w:rPr>
        <w:t xml:space="preserve">propofol use during the first, second, and third hours of the procedures. There was no difference in the administration of anxiolytic or analgesic agents between the two groups. </w:t>
      </w:r>
      <w:r w:rsidR="0024291C" w:rsidRPr="00A81743">
        <w:rPr>
          <w:rFonts w:cstheme="minorHAnsi"/>
        </w:rPr>
        <w:t>QoR-40 scores found no difference in patient satisfaction between treatment groups.</w:t>
      </w:r>
      <w:r w:rsidR="0024291C" w:rsidRPr="00037121">
        <w:rPr>
          <w:rFonts w:cstheme="minorHAnsi"/>
        </w:rPr>
        <w:t xml:space="preserve"> </w:t>
      </w:r>
    </w:p>
    <w:p w14:paraId="6E0D0367" w14:textId="77777777" w:rsidR="0024291C" w:rsidRDefault="0024291C" w:rsidP="00F23E7B">
      <w:pPr>
        <w:spacing w:after="0" w:line="360" w:lineRule="auto"/>
        <w:contextualSpacing/>
      </w:pPr>
    </w:p>
    <w:p w14:paraId="6AE8EFF5" w14:textId="49FF17E5" w:rsidR="0024291C" w:rsidRDefault="0024291C" w:rsidP="00F23E7B">
      <w:pPr>
        <w:spacing w:after="0" w:line="360" w:lineRule="auto"/>
        <w:contextualSpacing/>
        <w:rPr>
          <w:rFonts w:cstheme="minorHAnsi"/>
        </w:rPr>
      </w:pPr>
      <w:r>
        <w:t xml:space="preserve">In our </w:t>
      </w:r>
      <w:r w:rsidR="006A7087">
        <w:t xml:space="preserve">previous </w:t>
      </w:r>
      <w:r w:rsidR="00216DE6">
        <w:t>study, where A</w:t>
      </w:r>
      <w:r>
        <w:t xml:space="preserve">nesthesiologists controlled the amount of sedation given, the mean propofol use was 155 </w:t>
      </w:r>
      <w:r w:rsidRPr="00346944">
        <w:rPr>
          <w:rFonts w:cstheme="minorHAnsi"/>
        </w:rPr>
        <w:t>±</w:t>
      </w:r>
      <w:r>
        <w:rPr>
          <w:rFonts w:cstheme="minorHAnsi"/>
        </w:rPr>
        <w:t xml:space="preserve"> 45 mg/hr in the routine ca</w:t>
      </w:r>
      <w:r w:rsidR="00827C44">
        <w:rPr>
          <w:rFonts w:cstheme="minorHAnsi"/>
        </w:rPr>
        <w:t>re group. This compares to 53.5</w:t>
      </w:r>
      <w:r>
        <w:rPr>
          <w:rFonts w:cstheme="minorHAnsi"/>
        </w:rPr>
        <w:t xml:space="preserve"> mg </w:t>
      </w:r>
      <w:r w:rsidRPr="00346944">
        <w:rPr>
          <w:rFonts w:cstheme="minorHAnsi"/>
        </w:rPr>
        <w:t>±</w:t>
      </w:r>
      <w:r w:rsidR="006F6535">
        <w:rPr>
          <w:rFonts w:cstheme="minorHAnsi"/>
        </w:rPr>
        <w:t xml:space="preserve"> 9.7</w:t>
      </w:r>
      <w:r>
        <w:rPr>
          <w:rFonts w:cstheme="minorHAnsi"/>
        </w:rPr>
        <w:t xml:space="preserve"> mg/hr in this study, where the sedation was patient controlled</w:t>
      </w:r>
      <w:r w:rsidR="006B4D4E">
        <w:rPr>
          <w:rFonts w:cstheme="minorHAnsi"/>
        </w:rPr>
        <w:t>. Ekin et al (14</w:t>
      </w:r>
      <w:r>
        <w:rPr>
          <w:rFonts w:cstheme="minorHAnsi"/>
        </w:rPr>
        <w:t xml:space="preserve">) equally reported lower doses of self administered propofol in their study compared to our pilot study. As a whole, this suggests that the lower sedation doses in the IVR group seen in the pilot study was not the result of </w:t>
      </w:r>
      <w:r w:rsidR="00F72755">
        <w:rPr>
          <w:rFonts w:cstheme="minorHAnsi"/>
        </w:rPr>
        <w:t>IVR</w:t>
      </w:r>
      <w:r w:rsidR="00911782">
        <w:rPr>
          <w:rFonts w:cstheme="minorHAnsi"/>
        </w:rPr>
        <w:t xml:space="preserve">, but </w:t>
      </w:r>
      <w:r>
        <w:rPr>
          <w:rFonts w:cstheme="minorHAnsi"/>
        </w:rPr>
        <w:t>a lower overall sedation requirement than what was administered as a routine by the anesthesiologist. As propofol was delivered as a weight based dose, the number of demands per patient was also examined, and there was no difference in demands between the two groups. In both cases, the median unmet demand was zero, suggesting that the sedation administered was adequate to maintain patient comfort.</w:t>
      </w:r>
    </w:p>
    <w:p w14:paraId="054A82A4" w14:textId="77777777" w:rsidR="0024291C" w:rsidRDefault="0024291C" w:rsidP="00F23E7B">
      <w:pPr>
        <w:spacing w:after="0" w:line="360" w:lineRule="auto"/>
        <w:contextualSpacing/>
        <w:rPr>
          <w:rFonts w:cstheme="minorHAnsi"/>
        </w:rPr>
      </w:pPr>
    </w:p>
    <w:p w14:paraId="2B757EB3" w14:textId="4A7B0671" w:rsidR="0024291C" w:rsidRDefault="0024291C" w:rsidP="00F23E7B">
      <w:pPr>
        <w:spacing w:after="0" w:line="360" w:lineRule="auto"/>
        <w:contextualSpacing/>
        <w:rPr>
          <w:rFonts w:cstheme="minorHAnsi"/>
        </w:rPr>
      </w:pPr>
      <w:r>
        <w:rPr>
          <w:rFonts w:cstheme="minorHAnsi"/>
        </w:rPr>
        <w:t xml:space="preserve">Post-hoc analysis of propofol usage demonstrated a number of other factors influencing propofol requirements independent of IVR use. </w:t>
      </w:r>
      <w:r w:rsidR="0024562A">
        <w:rPr>
          <w:rFonts w:cstheme="minorHAnsi"/>
        </w:rPr>
        <w:t>W</w:t>
      </w:r>
      <w:r>
        <w:rPr>
          <w:rFonts w:cstheme="minorHAnsi"/>
        </w:rPr>
        <w:t xml:space="preserve">eight/BMI, an increased </w:t>
      </w:r>
      <w:r w:rsidR="0024562A">
        <w:rPr>
          <w:rFonts w:cstheme="minorHAnsi"/>
        </w:rPr>
        <w:t xml:space="preserve">preoperative </w:t>
      </w:r>
      <w:r>
        <w:rPr>
          <w:rFonts w:cstheme="minorHAnsi"/>
        </w:rPr>
        <w:t>fentanyl requirement</w:t>
      </w:r>
      <w:r w:rsidR="0024562A">
        <w:rPr>
          <w:rFonts w:cstheme="minorHAnsi"/>
        </w:rPr>
        <w:t>, pre-procedure anxiety</w:t>
      </w:r>
      <w:r>
        <w:rPr>
          <w:rFonts w:cstheme="minorHAnsi"/>
        </w:rPr>
        <w:t xml:space="preserve">, and procedures </w:t>
      </w:r>
      <w:r w:rsidR="00DA3F15">
        <w:rPr>
          <w:rFonts w:cstheme="minorHAnsi"/>
        </w:rPr>
        <w:t>in the lateral</w:t>
      </w:r>
      <w:r>
        <w:rPr>
          <w:rFonts w:cstheme="minorHAnsi"/>
        </w:rPr>
        <w:t xml:space="preserve"> position all had p values approaching significance. While increased requirements with larger patients was expected and accounted for using a weight-based bolus dose, the other factors were unanticipated. The increased sedation required in patients with a pre-procedure anxiety score and higher fentanyl requirements most likely represent the same subset of stressed and uncomfortable patients requiring more pharmacological intervention. Future studies may benefit from targeting these patients specifically.</w:t>
      </w:r>
    </w:p>
    <w:p w14:paraId="3ABEC7D2" w14:textId="6339900E" w:rsidR="0024291C" w:rsidRDefault="0024291C" w:rsidP="00F23E7B">
      <w:pPr>
        <w:spacing w:after="0" w:line="360" w:lineRule="auto"/>
        <w:contextualSpacing/>
        <w:rPr>
          <w:b/>
        </w:rPr>
      </w:pPr>
    </w:p>
    <w:p w14:paraId="44E29C8A" w14:textId="6CB2F670" w:rsidR="0024291C" w:rsidRDefault="0024291C" w:rsidP="00F23E7B">
      <w:pPr>
        <w:spacing w:after="0" w:line="360" w:lineRule="auto"/>
        <w:contextualSpacing/>
      </w:pPr>
      <w:r>
        <w:t>There was a trend approaching significance towards more</w:t>
      </w:r>
      <w:r w:rsidR="00053BFD">
        <w:t xml:space="preserve"> total </w:t>
      </w:r>
      <w:r>
        <w:t>midazolam an</w:t>
      </w:r>
      <w:r w:rsidR="00053BFD">
        <w:t>d fentanyl use in the IVR group, with the bulk being given pre-procedure.</w:t>
      </w:r>
      <w:r>
        <w:t xml:space="preserve"> While th</w:t>
      </w:r>
      <w:r w:rsidR="00053BFD">
        <w:t xml:space="preserve">ese </w:t>
      </w:r>
      <w:r>
        <w:t>result</w:t>
      </w:r>
      <w:r w:rsidR="00053BFD">
        <w:t>s</w:t>
      </w:r>
      <w:r>
        <w:t xml:space="preserve"> could be du</w:t>
      </w:r>
      <w:r w:rsidR="00911782">
        <w:t xml:space="preserve">e to chance, there is the </w:t>
      </w:r>
      <w:r>
        <w:t>possibility that this was the result of the non-blinded nat</w:t>
      </w:r>
      <w:r w:rsidR="00532AAA">
        <w:t xml:space="preserve">ure of this study, where the </w:t>
      </w:r>
      <w:proofErr w:type="spellStart"/>
      <w:r w:rsidR="00532AAA">
        <w:t>an</w:t>
      </w:r>
      <w:r>
        <w:t>esthesiologist</w:t>
      </w:r>
      <w:proofErr w:type="spellEnd"/>
      <w:r>
        <w:t xml:space="preserve"> could still control some element of the patient’s seda</w:t>
      </w:r>
      <w:r w:rsidR="00911782">
        <w:t>tion</w:t>
      </w:r>
      <w:r>
        <w:t xml:space="preserve"> and instinctively gave more midazolam and fentanyl </w:t>
      </w:r>
      <w:r w:rsidR="00911782">
        <w:t>to the IVR group. This</w:t>
      </w:r>
      <w:r>
        <w:t xml:space="preserve"> could </w:t>
      </w:r>
      <w:r w:rsidR="00911782">
        <w:t xml:space="preserve">then </w:t>
      </w:r>
      <w:r>
        <w:t>potentially explain the apparent reduction in propofol usage when correcting for fentanyl use using negative binomial regression. The effect of this pre-medication on the sedation requirement of the patien</w:t>
      </w:r>
      <w:r w:rsidR="00053BFD">
        <w:t>t is itself unknown – the mean pre-procedure</w:t>
      </w:r>
      <w:r>
        <w:t xml:space="preserve"> midazolam </w:t>
      </w:r>
      <w:r w:rsidR="00053BFD">
        <w:t xml:space="preserve">and fentanyl </w:t>
      </w:r>
      <w:r>
        <w:t>dose</w:t>
      </w:r>
      <w:r w:rsidR="00053BFD">
        <w:t>s</w:t>
      </w:r>
      <w:r>
        <w:t xml:space="preserve"> w</w:t>
      </w:r>
      <w:r w:rsidR="00053BFD">
        <w:t>ere</w:t>
      </w:r>
      <w:r>
        <w:t xml:space="preserve"> </w:t>
      </w:r>
      <w:r w:rsidR="00053BFD">
        <w:t xml:space="preserve">between 1 and 2 mg and 20 - 30 </w:t>
      </w:r>
      <w:r>
        <w:t xml:space="preserve"> mcg</w:t>
      </w:r>
      <w:r w:rsidR="00053BFD">
        <w:t xml:space="preserve"> respectively</w:t>
      </w:r>
      <w:r w:rsidR="00911782">
        <w:t>,</w:t>
      </w:r>
      <w:r>
        <w:t xml:space="preserve"> and these effects</w:t>
      </w:r>
      <w:r w:rsidR="00053BFD">
        <w:t xml:space="preserve"> may have largely worn off </w:t>
      </w:r>
      <w:r>
        <w:t xml:space="preserve">over the course of a procedure generally over 2 hours in </w:t>
      </w:r>
      <w:r>
        <w:lastRenderedPageBreak/>
        <w:t>length.</w:t>
      </w:r>
      <w:r w:rsidR="00053BFD">
        <w:t xml:space="preserve"> Equally, the intraoperative dose of fentanyl in either group rarely exceeded 10 mcg and its </w:t>
      </w:r>
      <w:r w:rsidR="00911782">
        <w:t xml:space="preserve">overall </w:t>
      </w:r>
      <w:r w:rsidR="00053BFD">
        <w:t xml:space="preserve">influence </w:t>
      </w:r>
      <w:r w:rsidR="00911782">
        <w:t xml:space="preserve">is </w:t>
      </w:r>
      <w:r w:rsidR="00053BFD">
        <w:t>unclear.</w:t>
      </w:r>
    </w:p>
    <w:p w14:paraId="346D7428" w14:textId="77777777" w:rsidR="0024291C" w:rsidRPr="00EF798D" w:rsidRDefault="0024291C" w:rsidP="00F23E7B">
      <w:pPr>
        <w:spacing w:after="0" w:line="360" w:lineRule="auto"/>
        <w:contextualSpacing/>
      </w:pPr>
    </w:p>
    <w:p w14:paraId="3734CF3C" w14:textId="6CEC64A4" w:rsidR="00532AAA" w:rsidRDefault="0024291C" w:rsidP="00F23E7B">
      <w:pPr>
        <w:spacing w:after="0" w:line="360" w:lineRule="auto"/>
        <w:contextualSpacing/>
        <w:rPr>
          <w:rFonts w:cstheme="minorHAnsi"/>
        </w:rPr>
      </w:pPr>
      <w:r>
        <w:rPr>
          <w:rFonts w:cstheme="minorHAnsi"/>
        </w:rPr>
        <w:t xml:space="preserve">In this study, 9 of the 25 patients randomized to the IVR arm removed the goggles early and suggests that not every patient remains engaged with the IVR for the entire duration of the procedure. The inclusion of these </w:t>
      </w:r>
      <w:r w:rsidR="00BB548C">
        <w:rPr>
          <w:rFonts w:cstheme="minorHAnsi"/>
        </w:rPr>
        <w:t xml:space="preserve">patients </w:t>
      </w:r>
      <w:r>
        <w:rPr>
          <w:rFonts w:cstheme="minorHAnsi"/>
        </w:rPr>
        <w:t>in the analysis may have reduced the abilit</w:t>
      </w:r>
      <w:r w:rsidR="002F6E89">
        <w:rPr>
          <w:rFonts w:cstheme="minorHAnsi"/>
        </w:rPr>
        <w:t>y to discern a treatment effect</w:t>
      </w:r>
      <w:r w:rsidR="0024562A">
        <w:rPr>
          <w:rFonts w:cstheme="minorHAnsi"/>
        </w:rPr>
        <w:t>. As</w:t>
      </w:r>
      <w:r w:rsidR="002F6E89">
        <w:rPr>
          <w:rFonts w:cstheme="minorHAnsi"/>
        </w:rPr>
        <w:t xml:space="preserve"> such</w:t>
      </w:r>
      <w:r w:rsidR="0024562A">
        <w:rPr>
          <w:rFonts w:cstheme="minorHAnsi"/>
        </w:rPr>
        <w:t>,</w:t>
      </w:r>
      <w:r w:rsidR="002F6E89">
        <w:rPr>
          <w:rFonts w:cstheme="minorHAnsi"/>
        </w:rPr>
        <w:t xml:space="preserve"> the mean propofol dose was calculated amongst only the patients who used IVR for the entirety of the procedure. The mean propofol</w:t>
      </w:r>
      <w:bookmarkStart w:id="0" w:name="_GoBack"/>
      <w:bookmarkEnd w:id="0"/>
      <w:r w:rsidR="002F6E89">
        <w:rPr>
          <w:rFonts w:cstheme="minorHAnsi"/>
        </w:rPr>
        <w:t xml:space="preserve"> use per hour and mean total propofol use in this cohort, while less than that when all patients were included, was still nonsignificant.</w:t>
      </w:r>
    </w:p>
    <w:p w14:paraId="6C27AB4E" w14:textId="77777777" w:rsidR="00532AAA" w:rsidRDefault="00532AAA" w:rsidP="00F23E7B">
      <w:pPr>
        <w:spacing w:after="0" w:line="360" w:lineRule="auto"/>
        <w:contextualSpacing/>
        <w:rPr>
          <w:rFonts w:cstheme="minorHAnsi"/>
        </w:rPr>
      </w:pPr>
    </w:p>
    <w:p w14:paraId="73EB7CDB" w14:textId="46FBC07C" w:rsidR="00532AAA" w:rsidRDefault="00BD5257" w:rsidP="00F23E7B">
      <w:pPr>
        <w:spacing w:after="0" w:line="360" w:lineRule="auto"/>
        <w:contextualSpacing/>
        <w:rPr>
          <w:rFonts w:cstheme="minorHAnsi"/>
        </w:rPr>
      </w:pPr>
      <w:r>
        <w:rPr>
          <w:rFonts w:cstheme="minorHAnsi"/>
        </w:rPr>
        <w:t>G</w:t>
      </w:r>
      <w:r w:rsidR="00532AAA">
        <w:rPr>
          <w:rFonts w:cstheme="minorHAnsi"/>
        </w:rPr>
        <w:t xml:space="preserve">iven an effective treatment failure of 36%, </w:t>
      </w:r>
      <w:r w:rsidR="0024562A">
        <w:rPr>
          <w:rFonts w:cstheme="minorHAnsi"/>
        </w:rPr>
        <w:t>the addition of</w:t>
      </w:r>
      <w:r w:rsidR="00532AAA">
        <w:rPr>
          <w:rFonts w:cstheme="minorHAnsi"/>
        </w:rPr>
        <w:t xml:space="preserve"> more engaging content </w:t>
      </w:r>
      <w:r w:rsidR="0024562A">
        <w:rPr>
          <w:rFonts w:cstheme="minorHAnsi"/>
        </w:rPr>
        <w:t>may be needed</w:t>
      </w:r>
      <w:r w:rsidR="00532AAA">
        <w:rPr>
          <w:rFonts w:cstheme="minorHAnsi"/>
        </w:rPr>
        <w:t xml:space="preserve"> in order to demonstrate a potential effect.</w:t>
      </w:r>
      <w:r>
        <w:rPr>
          <w:rFonts w:cstheme="minorHAnsi"/>
        </w:rPr>
        <w:t xml:space="preserve"> </w:t>
      </w:r>
      <w:r w:rsidR="0024291C">
        <w:rPr>
          <w:rFonts w:cstheme="minorHAnsi"/>
        </w:rPr>
        <w:t>While t</w:t>
      </w:r>
      <w:r w:rsidR="0024562A">
        <w:rPr>
          <w:rFonts w:cstheme="minorHAnsi"/>
        </w:rPr>
        <w:t xml:space="preserve">he chosen </w:t>
      </w:r>
      <w:r w:rsidR="0024291C">
        <w:rPr>
          <w:rFonts w:cstheme="minorHAnsi"/>
        </w:rPr>
        <w:t>software was generally</w:t>
      </w:r>
      <w:r w:rsidR="0024291C" w:rsidRPr="00A81743">
        <w:rPr>
          <w:rFonts w:cstheme="minorHAnsi"/>
        </w:rPr>
        <w:t xml:space="preserve"> well-received, </w:t>
      </w:r>
      <w:r w:rsidR="0024562A">
        <w:rPr>
          <w:rFonts w:cstheme="minorHAnsi"/>
        </w:rPr>
        <w:t>some patients</w:t>
      </w:r>
      <w:r w:rsidR="0024291C" w:rsidRPr="00A81743">
        <w:rPr>
          <w:rFonts w:cstheme="minorHAnsi"/>
        </w:rPr>
        <w:t xml:space="preserve"> </w:t>
      </w:r>
      <w:r w:rsidR="006A7087" w:rsidRPr="00A81743">
        <w:rPr>
          <w:rFonts w:cstheme="minorHAnsi"/>
        </w:rPr>
        <w:t>bec</w:t>
      </w:r>
      <w:r w:rsidR="006A7087">
        <w:rPr>
          <w:rFonts w:cstheme="minorHAnsi"/>
        </w:rPr>
        <w:t>o</w:t>
      </w:r>
      <w:r w:rsidR="006A7087" w:rsidRPr="00A81743">
        <w:rPr>
          <w:rFonts w:cstheme="minorHAnsi"/>
        </w:rPr>
        <w:t xml:space="preserve">me </w:t>
      </w:r>
      <w:r w:rsidR="0024562A">
        <w:rPr>
          <w:rFonts w:cstheme="minorHAnsi"/>
        </w:rPr>
        <w:t>bored and sought more engaging</w:t>
      </w:r>
      <w:r w:rsidR="0024291C" w:rsidRPr="00A81743">
        <w:rPr>
          <w:rFonts w:cstheme="minorHAnsi"/>
        </w:rPr>
        <w:t xml:space="preserve"> options. A limitation of both Iceland and Eden River was that they could become repetitive, with a number of patients commenting that increasing the selection of content would have improved their experience. At the time of this study, the selection of IVR software was limited, as many options were often still in early development, or were games requiring a gamepad or significant head movements, neither of which are appropriate during a surgical procedure. A number of IVR studies have utilised the Snow World software by the University of Washington</w:t>
      </w:r>
      <w:r w:rsidR="000D2EAF">
        <w:rPr>
          <w:rFonts w:cstheme="minorHAnsi"/>
        </w:rPr>
        <w:t xml:space="preserve"> (19</w:t>
      </w:r>
      <w:r w:rsidR="00532AAA">
        <w:rPr>
          <w:rFonts w:cstheme="minorHAnsi"/>
        </w:rPr>
        <w:t>)</w:t>
      </w:r>
      <w:r w:rsidR="0024291C" w:rsidRPr="00A81743">
        <w:rPr>
          <w:rFonts w:cstheme="minorHAnsi"/>
        </w:rPr>
        <w:t>, which allows some interaction with the virtual environment in the form of throwing of virtual snowballs at passing objects. This may allow greater engagement with the virtual environment,</w:t>
      </w:r>
      <w:r w:rsidR="0024291C">
        <w:rPr>
          <w:rFonts w:cstheme="minorHAnsi"/>
        </w:rPr>
        <w:t xml:space="preserve"> with greater engagement postulated to have</w:t>
      </w:r>
      <w:r w:rsidR="000D2EAF">
        <w:rPr>
          <w:rFonts w:cstheme="minorHAnsi"/>
        </w:rPr>
        <w:t xml:space="preserve"> a greater analgesic effect (20</w:t>
      </w:r>
      <w:r w:rsidR="0024291C">
        <w:rPr>
          <w:rFonts w:cstheme="minorHAnsi"/>
        </w:rPr>
        <w:t>).</w:t>
      </w:r>
      <w:r w:rsidR="00960039">
        <w:rPr>
          <w:rFonts w:cstheme="minorHAnsi"/>
        </w:rPr>
        <w:t xml:space="preserve"> </w:t>
      </w:r>
      <w:r w:rsidR="00532AAA">
        <w:rPr>
          <w:rFonts w:cstheme="minorHAnsi"/>
        </w:rPr>
        <w:t>Providing personalized or more engaging software, however, would pose challenges,</w:t>
      </w:r>
      <w:r w:rsidR="004A384D">
        <w:rPr>
          <w:rFonts w:cstheme="minorHAnsi"/>
        </w:rPr>
        <w:t xml:space="preserve"> given every patient may have </w:t>
      </w:r>
      <w:r w:rsidR="00532AAA">
        <w:rPr>
          <w:rFonts w:cstheme="minorHAnsi"/>
        </w:rPr>
        <w:t xml:space="preserve">different preferences in what they find engaging, and would add to the complexity of administering </w:t>
      </w:r>
      <w:r w:rsidR="00F72755">
        <w:rPr>
          <w:rFonts w:cstheme="minorHAnsi"/>
        </w:rPr>
        <w:t>IVR</w:t>
      </w:r>
      <w:r w:rsidR="00532AAA">
        <w:rPr>
          <w:rFonts w:cstheme="minorHAnsi"/>
        </w:rPr>
        <w:t xml:space="preserve"> in a busy surgical environment.</w:t>
      </w:r>
    </w:p>
    <w:p w14:paraId="03C5D687" w14:textId="77777777" w:rsidR="0024291C" w:rsidRDefault="0024291C" w:rsidP="00F23E7B">
      <w:pPr>
        <w:spacing w:after="0" w:line="360" w:lineRule="auto"/>
        <w:contextualSpacing/>
        <w:rPr>
          <w:rFonts w:cstheme="minorHAnsi"/>
        </w:rPr>
      </w:pPr>
    </w:p>
    <w:p w14:paraId="3C23D8B1" w14:textId="5C48D294" w:rsidR="0024291C" w:rsidRDefault="0024291C" w:rsidP="00F23E7B">
      <w:pPr>
        <w:spacing w:after="0" w:line="360" w:lineRule="auto"/>
        <w:contextualSpacing/>
      </w:pPr>
      <w:r>
        <w:t>By chance, patients in the IVR group were younger than those in the control group. Given older patients may requ</w:t>
      </w:r>
      <w:r w:rsidR="000D2EAF">
        <w:t>ire lower doses of propofol (21</w:t>
      </w:r>
      <w:r>
        <w:t>) it is possible that the skew towards in a younger age group in the IVR group is responsible for some of the absence of a treatment effect.</w:t>
      </w:r>
    </w:p>
    <w:p w14:paraId="1E0238B8" w14:textId="77777777" w:rsidR="002113C6" w:rsidRDefault="002113C6" w:rsidP="00F23E7B">
      <w:pPr>
        <w:spacing w:after="0" w:line="360" w:lineRule="auto"/>
        <w:contextualSpacing/>
      </w:pPr>
    </w:p>
    <w:p w14:paraId="463CD8E4" w14:textId="5D0C39F5" w:rsidR="0024291C" w:rsidRDefault="0024291C" w:rsidP="00F23E7B">
      <w:pPr>
        <w:spacing w:after="0" w:line="360" w:lineRule="auto"/>
        <w:contextualSpacing/>
      </w:pPr>
      <w:r>
        <w:t xml:space="preserve">It should also be noted that almost half of the patients approached for this study declined, and preferred to have analgesia and sedation managed by the </w:t>
      </w:r>
      <w:proofErr w:type="spellStart"/>
      <w:r w:rsidR="00AE193A">
        <w:t>A</w:t>
      </w:r>
      <w:r>
        <w:t>nesthesiologist</w:t>
      </w:r>
      <w:proofErr w:type="spellEnd"/>
      <w:r>
        <w:t xml:space="preserve"> without </w:t>
      </w:r>
      <w:r w:rsidR="00F72755">
        <w:t>IVR</w:t>
      </w:r>
      <w:r>
        <w:t>. These patients tended to cite anxiety over the upcoming procedure as a reason for declining to participate. It is unknown how these more anxious patients might have responded to IVR compared to the cohort that agreed to the trial</w:t>
      </w:r>
      <w:r w:rsidR="002113C6">
        <w:t>, or how their inclusion might have affect</w:t>
      </w:r>
      <w:r w:rsidR="004A384D">
        <w:t>ed</w:t>
      </w:r>
      <w:r w:rsidR="002113C6">
        <w:t xml:space="preserve"> postoperative satisfaction scores</w:t>
      </w:r>
      <w:r>
        <w:t>.</w:t>
      </w:r>
    </w:p>
    <w:p w14:paraId="27596D75" w14:textId="77777777" w:rsidR="0024291C" w:rsidRDefault="0024291C" w:rsidP="00F23E7B">
      <w:pPr>
        <w:spacing w:after="0" w:line="360" w:lineRule="auto"/>
        <w:contextualSpacing/>
      </w:pPr>
    </w:p>
    <w:p w14:paraId="2BBFA9C8" w14:textId="77777777" w:rsidR="0024291C" w:rsidRDefault="0024291C" w:rsidP="00F23E7B">
      <w:pPr>
        <w:spacing w:after="0" w:line="360" w:lineRule="auto"/>
        <w:contextualSpacing/>
      </w:pPr>
      <w:r>
        <w:t xml:space="preserve">The Quality of Recovery was also the same between the two groups, with both reflecting an improvement in subjective symptoms. This suggests that in addition to having no role in reducing the pharmacological demands of patients, IVR did not result in any subjective benefit to patients. </w:t>
      </w:r>
    </w:p>
    <w:p w14:paraId="72E11B65" w14:textId="77777777" w:rsidR="0024291C" w:rsidRDefault="0024291C" w:rsidP="00F23E7B">
      <w:pPr>
        <w:spacing w:after="0" w:line="360" w:lineRule="auto"/>
        <w:contextualSpacing/>
        <w:rPr>
          <w:b/>
        </w:rPr>
      </w:pPr>
    </w:p>
    <w:p w14:paraId="40E4E54E" w14:textId="77777777" w:rsidR="0024291C" w:rsidRDefault="0024291C" w:rsidP="00F23E7B">
      <w:pPr>
        <w:spacing w:after="0" w:line="360" w:lineRule="auto"/>
        <w:contextualSpacing/>
        <w:rPr>
          <w:b/>
        </w:rPr>
      </w:pPr>
      <w:r>
        <w:rPr>
          <w:b/>
        </w:rPr>
        <w:lastRenderedPageBreak/>
        <w:t>Conclusion</w:t>
      </w:r>
    </w:p>
    <w:p w14:paraId="355F8FA6" w14:textId="77777777" w:rsidR="005155BE" w:rsidRDefault="005155BE" w:rsidP="00F23E7B">
      <w:pPr>
        <w:spacing w:after="0" w:line="360" w:lineRule="auto"/>
        <w:contextualSpacing/>
        <w:rPr>
          <w:b/>
        </w:rPr>
      </w:pPr>
    </w:p>
    <w:p w14:paraId="66F96677" w14:textId="43AA6FA8" w:rsidR="005155BE" w:rsidRDefault="005155BE" w:rsidP="005155BE">
      <w:pPr>
        <w:spacing w:after="0" w:line="360" w:lineRule="auto"/>
        <w:contextualSpacing/>
      </w:pPr>
      <w:r>
        <w:t xml:space="preserve">This study demonstrates that it is feasible to implement </w:t>
      </w:r>
      <w:r w:rsidR="00F72755">
        <w:t>IVR</w:t>
      </w:r>
      <w:r>
        <w:t xml:space="preserve"> without much difficulty in a busy operating theatre. Given the lack of significant treatment effect, it may not be worth the effort in doing so.</w:t>
      </w:r>
      <w:r w:rsidR="00511B22">
        <w:t xml:space="preserve"> </w:t>
      </w:r>
      <w:r>
        <w:t xml:space="preserve">As with the trial of any new intervention with a small sample size, care must be made not to </w:t>
      </w:r>
      <w:proofErr w:type="spellStart"/>
      <w:r>
        <w:t>overinterpret</w:t>
      </w:r>
      <w:proofErr w:type="spellEnd"/>
      <w:r>
        <w:t xml:space="preserve"> preliminary findings, and to be wary of potential sources of bias.</w:t>
      </w:r>
      <w:r w:rsidRPr="002E76F8">
        <w:t xml:space="preserve"> </w:t>
      </w:r>
      <w:r>
        <w:t>This study reflects this, and does not support the hypothesis that IVR confers a sedation sparing effect on patients receiving joint replacement surgery under regional anesthesia.</w:t>
      </w:r>
      <w:r w:rsidRPr="001D6E87">
        <w:t xml:space="preserve"> </w:t>
      </w:r>
      <w:r w:rsidRPr="00A81743">
        <w:rPr>
          <w:rFonts w:cstheme="minorHAnsi"/>
        </w:rPr>
        <w:t xml:space="preserve">There appear to be </w:t>
      </w:r>
      <w:r>
        <w:rPr>
          <w:rFonts w:cstheme="minorHAnsi"/>
        </w:rPr>
        <w:t xml:space="preserve">many factors that have greater influence on sedation requirements over any effect of </w:t>
      </w:r>
      <w:r w:rsidR="00F72755">
        <w:rPr>
          <w:rFonts w:cstheme="minorHAnsi"/>
        </w:rPr>
        <w:t>IVR</w:t>
      </w:r>
      <w:r w:rsidRPr="00A81743">
        <w:rPr>
          <w:rFonts w:cstheme="minorHAnsi"/>
        </w:rPr>
        <w:t>, including</w:t>
      </w:r>
      <w:r>
        <w:rPr>
          <w:rFonts w:cstheme="minorHAnsi"/>
        </w:rPr>
        <w:t xml:space="preserve"> the</w:t>
      </w:r>
      <w:r w:rsidRPr="00A81743">
        <w:rPr>
          <w:rFonts w:cstheme="minorHAnsi"/>
        </w:rPr>
        <w:t xml:space="preserve"> use of adjunctive </w:t>
      </w:r>
      <w:r>
        <w:rPr>
          <w:rFonts w:cstheme="minorHAnsi"/>
        </w:rPr>
        <w:t>pharmacological agents</w:t>
      </w:r>
      <w:r w:rsidRPr="00A81743">
        <w:rPr>
          <w:rFonts w:cstheme="minorHAnsi"/>
        </w:rPr>
        <w:t>,</w:t>
      </w:r>
      <w:r>
        <w:rPr>
          <w:rFonts w:cstheme="minorHAnsi"/>
        </w:rPr>
        <w:t xml:space="preserve"> the type of surgery, and pre-existing</w:t>
      </w:r>
      <w:r w:rsidRPr="00A81743">
        <w:rPr>
          <w:rFonts w:cstheme="minorHAnsi"/>
        </w:rPr>
        <w:t xml:space="preserve"> patient anxiety</w:t>
      </w:r>
      <w:r>
        <w:rPr>
          <w:rFonts w:cstheme="minorHAnsi"/>
        </w:rPr>
        <w:t>.</w:t>
      </w:r>
      <w:r>
        <w:t xml:space="preserve"> </w:t>
      </w:r>
    </w:p>
    <w:p w14:paraId="08DCC085" w14:textId="77777777" w:rsidR="005155BE" w:rsidRPr="001D6E87" w:rsidRDefault="005155BE" w:rsidP="005155BE">
      <w:pPr>
        <w:spacing w:after="0" w:line="360" w:lineRule="auto"/>
        <w:contextualSpacing/>
        <w:rPr>
          <w:b/>
        </w:rPr>
      </w:pPr>
    </w:p>
    <w:p w14:paraId="251F0119" w14:textId="4072C652" w:rsidR="0024291C" w:rsidRDefault="005155BE" w:rsidP="00F23E7B">
      <w:pPr>
        <w:pStyle w:val="NoSpacing"/>
        <w:spacing w:line="360" w:lineRule="auto"/>
        <w:contextualSpacing/>
      </w:pPr>
      <w:r>
        <w:t>An IVR treatment benefit may potentially exist by selecting patients with higher sedation requirements, namely younger patients with higher pre-procedure anxiety. Testing this hypothesis, however, would also most likely require more personalized and engaging content</w:t>
      </w:r>
      <w:r w:rsidR="00872B23">
        <w:t xml:space="preserve"> in order to keep the IVR engaged for the duration of the procedure</w:t>
      </w:r>
      <w:r>
        <w:t>.</w:t>
      </w:r>
      <w:r w:rsidRPr="002E76F8">
        <w:rPr>
          <w:rFonts w:cstheme="minorHAnsi"/>
        </w:rPr>
        <w:t xml:space="preserve"> </w:t>
      </w:r>
      <w:r>
        <w:t xml:space="preserve">A much larger study targeting this smaller subset of individuals, while also controlling for confounders such as patient positioning and the use of adjunctive pharmacological agents, would also likely be necessary to show any benefit of IVR. This benefit, should it exist, would likely be much smaller than that demonstrated </w:t>
      </w:r>
      <w:r w:rsidR="00F7552B">
        <w:t xml:space="preserve">with </w:t>
      </w:r>
      <w:proofErr w:type="spellStart"/>
      <w:r w:rsidR="00E469EA">
        <w:t>A</w:t>
      </w:r>
      <w:r w:rsidR="006F6535">
        <w:t>nesthesiologist</w:t>
      </w:r>
      <w:proofErr w:type="spellEnd"/>
      <w:r w:rsidR="00F7552B">
        <w:t xml:space="preserve"> administered sedation</w:t>
      </w:r>
      <w:r w:rsidR="006B4D4E">
        <w:t xml:space="preserve"> (6</w:t>
      </w:r>
      <w:r w:rsidR="00BB548C">
        <w:t>)</w:t>
      </w:r>
      <w:r w:rsidR="0024291C">
        <w:t>.</w:t>
      </w:r>
    </w:p>
    <w:p w14:paraId="0224F801" w14:textId="77777777" w:rsidR="00F57C7F" w:rsidRPr="00A81743" w:rsidRDefault="00F57C7F" w:rsidP="00F23E7B">
      <w:pPr>
        <w:pStyle w:val="NoSpacing"/>
        <w:spacing w:line="360" w:lineRule="auto"/>
        <w:rPr>
          <w:rFonts w:eastAsia="PMingLiU" w:cstheme="minorHAnsi"/>
          <w:lang w:eastAsia="zh-HK"/>
        </w:rPr>
      </w:pPr>
    </w:p>
    <w:p w14:paraId="7E9C7128" w14:textId="2DC0E501" w:rsidR="00CD57D1" w:rsidRPr="00A81743" w:rsidRDefault="009D1495" w:rsidP="00F23E7B">
      <w:pPr>
        <w:pStyle w:val="NoSpacing"/>
        <w:spacing w:line="360" w:lineRule="auto"/>
        <w:rPr>
          <w:rFonts w:eastAsia="PMingLiU" w:cstheme="minorHAnsi"/>
          <w:b/>
          <w:lang w:eastAsia="zh-HK"/>
        </w:rPr>
      </w:pPr>
      <w:r w:rsidRPr="00A81743">
        <w:rPr>
          <w:rFonts w:eastAsia="PMingLiU" w:cstheme="minorHAnsi"/>
          <w:b/>
          <w:lang w:eastAsia="zh-HK"/>
        </w:rPr>
        <w:t>Conflicts of interest</w:t>
      </w:r>
    </w:p>
    <w:p w14:paraId="55D6D547" w14:textId="107876F0" w:rsidR="009D1495" w:rsidRPr="00A81743" w:rsidRDefault="009D1495" w:rsidP="00F23E7B">
      <w:pPr>
        <w:pStyle w:val="NoSpacing"/>
        <w:spacing w:line="360" w:lineRule="auto"/>
        <w:rPr>
          <w:rFonts w:eastAsia="PMingLiU" w:cstheme="minorHAnsi"/>
          <w:lang w:eastAsia="zh-HK"/>
        </w:rPr>
      </w:pPr>
      <w:r w:rsidRPr="00A81743">
        <w:rPr>
          <w:rFonts w:eastAsia="PMingLiU" w:cstheme="minorHAnsi"/>
          <w:lang w:eastAsia="zh-HK"/>
        </w:rPr>
        <w:t>This study was supported financially from the St Vincent’s Research Endowment Fund. Oculus VR did not contribute in any way to the design, collection of results, and data analysis.</w:t>
      </w:r>
    </w:p>
    <w:p w14:paraId="249558B2" w14:textId="77777777" w:rsidR="009D1495" w:rsidRPr="00A81743" w:rsidRDefault="009D1495" w:rsidP="00F23E7B">
      <w:pPr>
        <w:pStyle w:val="NoSpacing"/>
        <w:spacing w:line="360" w:lineRule="auto"/>
        <w:rPr>
          <w:rFonts w:eastAsia="PMingLiU" w:cstheme="minorHAnsi"/>
          <w:lang w:eastAsia="zh-HK"/>
        </w:rPr>
      </w:pPr>
    </w:p>
    <w:p w14:paraId="52AE0B5C" w14:textId="77777777" w:rsidR="00CD57D1" w:rsidRPr="00A81743" w:rsidRDefault="00CD57D1" w:rsidP="00F23E7B">
      <w:pPr>
        <w:pStyle w:val="NoSpacing"/>
        <w:spacing w:line="360" w:lineRule="auto"/>
        <w:rPr>
          <w:rFonts w:eastAsia="PMingLiU" w:cstheme="minorHAnsi"/>
          <w:b/>
          <w:lang w:eastAsia="zh-HK"/>
        </w:rPr>
      </w:pPr>
      <w:r w:rsidRPr="00A81743">
        <w:rPr>
          <w:rFonts w:eastAsia="PMingLiU" w:cstheme="minorHAnsi"/>
          <w:b/>
          <w:lang w:eastAsia="zh-HK"/>
        </w:rPr>
        <w:t>Acknowledgements</w:t>
      </w:r>
    </w:p>
    <w:p w14:paraId="79F69DC3" w14:textId="43211F87" w:rsidR="00CD57D1" w:rsidRPr="00A81743" w:rsidRDefault="007970B9" w:rsidP="00F23E7B">
      <w:pPr>
        <w:pStyle w:val="NoSpacing"/>
        <w:spacing w:line="360" w:lineRule="auto"/>
        <w:rPr>
          <w:rFonts w:eastAsia="PMingLiU" w:cstheme="minorHAnsi"/>
          <w:lang w:eastAsia="zh-HK"/>
        </w:rPr>
      </w:pPr>
      <w:r w:rsidRPr="00A81743">
        <w:rPr>
          <w:rFonts w:eastAsia="PMingLiU" w:cstheme="minorHAnsi"/>
          <w:lang w:eastAsia="zh-HK"/>
        </w:rPr>
        <w:t xml:space="preserve">Many thanks to </w:t>
      </w:r>
      <w:proofErr w:type="spellStart"/>
      <w:r w:rsidRPr="00A81743">
        <w:rPr>
          <w:rFonts w:eastAsia="PMingLiU" w:cstheme="minorHAnsi"/>
          <w:lang w:eastAsia="zh-HK"/>
        </w:rPr>
        <w:t>Vijaya</w:t>
      </w:r>
      <w:proofErr w:type="spellEnd"/>
      <w:r w:rsidRPr="00A81743">
        <w:rPr>
          <w:rFonts w:eastAsia="PMingLiU" w:cstheme="minorHAnsi"/>
          <w:lang w:eastAsia="zh-HK"/>
        </w:rPr>
        <w:t xml:space="preserve"> Sundararajan and Sara </w:t>
      </w:r>
      <w:proofErr w:type="spellStart"/>
      <w:r w:rsidRPr="00A81743">
        <w:rPr>
          <w:rFonts w:eastAsia="PMingLiU" w:cstheme="minorHAnsi"/>
          <w:lang w:eastAsia="zh-HK"/>
        </w:rPr>
        <w:t>Vogrin</w:t>
      </w:r>
      <w:proofErr w:type="spellEnd"/>
      <w:r w:rsidRPr="00A81743">
        <w:rPr>
          <w:rFonts w:eastAsia="PMingLiU" w:cstheme="minorHAnsi"/>
          <w:lang w:eastAsia="zh-HK"/>
        </w:rPr>
        <w:t xml:space="preserve"> who performed the statistical analysis, </w:t>
      </w:r>
      <w:proofErr w:type="spellStart"/>
      <w:r w:rsidRPr="00A81743">
        <w:rPr>
          <w:rFonts w:eastAsia="PMingLiU" w:cstheme="minorHAnsi"/>
          <w:lang w:eastAsia="zh-HK"/>
        </w:rPr>
        <w:t>Gert</w:t>
      </w:r>
      <w:proofErr w:type="spellEnd"/>
      <w:r w:rsidRPr="00A81743">
        <w:rPr>
          <w:rFonts w:eastAsia="PMingLiU" w:cstheme="minorHAnsi"/>
          <w:lang w:eastAsia="zh-HK"/>
        </w:rPr>
        <w:t xml:space="preserve"> van-</w:t>
      </w:r>
      <w:proofErr w:type="spellStart"/>
      <w:r w:rsidRPr="00A81743">
        <w:rPr>
          <w:rFonts w:eastAsia="PMingLiU" w:cstheme="minorHAnsi"/>
          <w:lang w:eastAsia="zh-HK"/>
        </w:rPr>
        <w:t>Werburg</w:t>
      </w:r>
      <w:proofErr w:type="spellEnd"/>
      <w:r w:rsidRPr="00A81743">
        <w:rPr>
          <w:rFonts w:eastAsia="PMingLiU" w:cstheme="minorHAnsi"/>
          <w:lang w:eastAsia="zh-HK"/>
        </w:rPr>
        <w:t xml:space="preserve"> of </w:t>
      </w:r>
      <w:proofErr w:type="spellStart"/>
      <w:r w:rsidRPr="00A81743">
        <w:rPr>
          <w:rFonts w:eastAsia="PMingLiU" w:cstheme="minorHAnsi"/>
          <w:lang w:eastAsia="zh-HK"/>
        </w:rPr>
        <w:t>VergeVR</w:t>
      </w:r>
      <w:proofErr w:type="spellEnd"/>
      <w:r w:rsidRPr="00A81743">
        <w:rPr>
          <w:rFonts w:eastAsia="PMingLiU" w:cstheme="minorHAnsi"/>
          <w:lang w:eastAsia="zh-HK"/>
        </w:rPr>
        <w:t xml:space="preserve"> (vergevr.com) who allowed use and created a specifically modified version of his Iceland software for use in this trial, and Cathy Crock for allowing the use of her musical compilation. </w:t>
      </w:r>
    </w:p>
    <w:p w14:paraId="66BB4BAF" w14:textId="77777777" w:rsidR="007308EA" w:rsidRPr="00A81743" w:rsidRDefault="007308EA" w:rsidP="00F23E7B">
      <w:pPr>
        <w:pStyle w:val="NoSpacing"/>
        <w:spacing w:line="360" w:lineRule="auto"/>
        <w:rPr>
          <w:rFonts w:eastAsia="PMingLiU" w:cstheme="minorHAnsi"/>
          <w:lang w:eastAsia="zh-HK"/>
        </w:rPr>
      </w:pPr>
    </w:p>
    <w:p w14:paraId="5FC7F8EE" w14:textId="77777777" w:rsidR="008365AD" w:rsidRPr="00A81743" w:rsidRDefault="008365AD" w:rsidP="00F23E7B">
      <w:pPr>
        <w:spacing w:line="360" w:lineRule="auto"/>
        <w:rPr>
          <w:rFonts w:cstheme="minorHAnsi"/>
          <w:b/>
        </w:rPr>
      </w:pPr>
      <w:r w:rsidRPr="00A81743">
        <w:rPr>
          <w:rFonts w:cstheme="minorHAnsi"/>
          <w:b/>
        </w:rPr>
        <w:br w:type="page"/>
      </w:r>
    </w:p>
    <w:p w14:paraId="4F2405F9" w14:textId="77777777" w:rsidR="006023B5" w:rsidRDefault="006023B5" w:rsidP="006023B5">
      <w:pPr>
        <w:spacing w:line="240" w:lineRule="auto"/>
        <w:rPr>
          <w:b/>
        </w:rPr>
      </w:pPr>
      <w:r w:rsidRPr="006023B5">
        <w:rPr>
          <w:b/>
        </w:rPr>
        <w:lastRenderedPageBreak/>
        <w:t>References</w:t>
      </w:r>
    </w:p>
    <w:p w14:paraId="4605FF7D" w14:textId="77777777" w:rsidR="00F95EB6" w:rsidRPr="006023B5" w:rsidRDefault="00F95EB6" w:rsidP="006023B5">
      <w:pPr>
        <w:spacing w:line="240" w:lineRule="auto"/>
        <w:rPr>
          <w:b/>
        </w:rPr>
      </w:pPr>
    </w:p>
    <w:p w14:paraId="5A3113ED" w14:textId="7397F60E" w:rsidR="00F95EB6" w:rsidRPr="00E83B9C" w:rsidRDefault="005A75F1" w:rsidP="00F95EB6">
      <w:pPr>
        <w:pStyle w:val="ListParagraph"/>
        <w:numPr>
          <w:ilvl w:val="0"/>
          <w:numId w:val="22"/>
        </w:numPr>
        <w:autoSpaceDE w:val="0"/>
        <w:autoSpaceDN w:val="0"/>
        <w:adjustRightInd w:val="0"/>
        <w:spacing w:after="0" w:line="360" w:lineRule="auto"/>
      </w:pPr>
      <w:hyperlink r:id="rId9" w:history="1">
        <w:r w:rsidR="00F95EB6" w:rsidRPr="00E83B9C">
          <w:t>Hoffman HG</w:t>
        </w:r>
      </w:hyperlink>
      <w:r w:rsidR="00F95EB6" w:rsidRPr="00E83B9C">
        <w:t> </w:t>
      </w:r>
      <w:hyperlink r:id="rId10" w:history="1">
        <w:r w:rsidR="00F95EB6" w:rsidRPr="00E83B9C">
          <w:t>Patterson DR</w:t>
        </w:r>
      </w:hyperlink>
      <w:r w:rsidR="00F95EB6" w:rsidRPr="00E83B9C">
        <w:t>, </w:t>
      </w:r>
      <w:proofErr w:type="spellStart"/>
      <w:r w:rsidR="00F95EB6" w:rsidRPr="00E83B9C">
        <w:fldChar w:fldCharType="begin"/>
      </w:r>
      <w:r w:rsidR="00F95EB6" w:rsidRPr="00E83B9C">
        <w:instrText xml:space="preserve"> HYPERLINK "https://www.ncbi.nlm.nih.gov/pubmed/?term=Carrougher%20GJ%5BAuthor%5D&amp;cauthor=true&amp;cauthor_uid=11587113" </w:instrText>
      </w:r>
      <w:r w:rsidR="00F95EB6" w:rsidRPr="00E83B9C">
        <w:fldChar w:fldCharType="separate"/>
      </w:r>
      <w:r w:rsidR="00F95EB6" w:rsidRPr="00E83B9C">
        <w:t>Carrougher</w:t>
      </w:r>
      <w:proofErr w:type="spellEnd"/>
      <w:r w:rsidR="00F95EB6" w:rsidRPr="00E83B9C">
        <w:t xml:space="preserve"> GJ</w:t>
      </w:r>
      <w:r w:rsidR="00F95EB6" w:rsidRPr="00E83B9C">
        <w:fldChar w:fldCharType="end"/>
      </w:r>
      <w:r w:rsidR="00F95EB6" w:rsidRPr="00E83B9C">
        <w:t>, </w:t>
      </w:r>
      <w:proofErr w:type="spellStart"/>
      <w:r w:rsidR="00F95EB6" w:rsidRPr="00E83B9C">
        <w:fldChar w:fldCharType="begin"/>
      </w:r>
      <w:r w:rsidR="00F95EB6" w:rsidRPr="00E83B9C">
        <w:instrText xml:space="preserve"> HYPERLINK "https://www.ncbi.nlm.nih.gov/pubmed/?term=Sharar%20SR%5BAuthor%5D&amp;cauthor=true&amp;cauthor_uid=11587113" </w:instrText>
      </w:r>
      <w:r w:rsidR="00F95EB6" w:rsidRPr="00E83B9C">
        <w:fldChar w:fldCharType="separate"/>
      </w:r>
      <w:r w:rsidR="00F95EB6" w:rsidRPr="00E83B9C">
        <w:t>Sharar</w:t>
      </w:r>
      <w:proofErr w:type="spellEnd"/>
      <w:r w:rsidR="00F95EB6" w:rsidRPr="00E83B9C">
        <w:t xml:space="preserve"> SR</w:t>
      </w:r>
      <w:r w:rsidR="00F95EB6" w:rsidRPr="00E83B9C">
        <w:fldChar w:fldCharType="end"/>
      </w:r>
      <w:r w:rsidR="00E3362E">
        <w:t>. Effectiveness of Virtual Reality-Based Pain C</w:t>
      </w:r>
      <w:r w:rsidR="00F95EB6" w:rsidRPr="00E83B9C">
        <w:t>ontrol with</w:t>
      </w:r>
      <w:r w:rsidR="00E3362E">
        <w:t xml:space="preserve"> Multiple T</w:t>
      </w:r>
      <w:r w:rsidR="00F95EB6" w:rsidRPr="00E83B9C">
        <w:t xml:space="preserve">reatments. </w:t>
      </w:r>
      <w:proofErr w:type="spellStart"/>
      <w:r w:rsidR="00F95EB6" w:rsidRPr="00E83B9C">
        <w:t>Clin</w:t>
      </w:r>
      <w:proofErr w:type="spellEnd"/>
      <w:r w:rsidR="00F95EB6" w:rsidRPr="00E83B9C">
        <w:t xml:space="preserve"> J Pain. 2001. 17(3): p. 229-35.</w:t>
      </w:r>
    </w:p>
    <w:p w14:paraId="27D647F0" w14:textId="30C9A356" w:rsidR="00F95EB6" w:rsidRPr="00E83B9C" w:rsidRDefault="005A75F1" w:rsidP="00F95EB6">
      <w:pPr>
        <w:pStyle w:val="ListParagraph"/>
        <w:numPr>
          <w:ilvl w:val="0"/>
          <w:numId w:val="22"/>
        </w:numPr>
        <w:autoSpaceDE w:val="0"/>
        <w:autoSpaceDN w:val="0"/>
        <w:adjustRightInd w:val="0"/>
        <w:spacing w:after="0" w:line="360" w:lineRule="auto"/>
      </w:pPr>
      <w:hyperlink r:id="rId11" w:history="1">
        <w:proofErr w:type="gramStart"/>
        <w:r w:rsidR="00F95EB6" w:rsidRPr="00E83B9C">
          <w:t>van</w:t>
        </w:r>
        <w:proofErr w:type="gramEnd"/>
        <w:r w:rsidR="00F95EB6" w:rsidRPr="00E83B9C">
          <w:t xml:space="preserve"> </w:t>
        </w:r>
        <w:proofErr w:type="spellStart"/>
        <w:r w:rsidR="00F95EB6" w:rsidRPr="00E83B9C">
          <w:t>Twillert</w:t>
        </w:r>
        <w:proofErr w:type="spellEnd"/>
        <w:r w:rsidR="00F95EB6" w:rsidRPr="00E83B9C">
          <w:t xml:space="preserve"> B</w:t>
        </w:r>
      </w:hyperlink>
      <w:r w:rsidR="00F95EB6" w:rsidRPr="00E83B9C">
        <w:t>, </w:t>
      </w:r>
      <w:hyperlink r:id="rId12" w:history="1">
        <w:r w:rsidR="00F95EB6" w:rsidRPr="00E83B9C">
          <w:t>Bremer M</w:t>
        </w:r>
      </w:hyperlink>
      <w:r w:rsidR="00F95EB6" w:rsidRPr="00E83B9C">
        <w:t>, </w:t>
      </w:r>
      <w:hyperlink r:id="rId13" w:history="1">
        <w:r w:rsidR="00F95EB6" w:rsidRPr="00E83B9C">
          <w:t>Faber AW</w:t>
        </w:r>
      </w:hyperlink>
      <w:r w:rsidR="00E3362E">
        <w:t>. Computer-Generated Virtual Reality to Control Pain and A</w:t>
      </w:r>
      <w:r w:rsidR="00F95EB6" w:rsidRPr="00E83B9C">
        <w:t>nxiety i</w:t>
      </w:r>
      <w:r w:rsidR="00E3362E">
        <w:t xml:space="preserve">n </w:t>
      </w:r>
      <w:proofErr w:type="spellStart"/>
      <w:r w:rsidR="00E3362E">
        <w:t>Pediatric</w:t>
      </w:r>
      <w:proofErr w:type="spellEnd"/>
      <w:r w:rsidR="00E3362E">
        <w:t xml:space="preserve"> and Adult Burn Patients </w:t>
      </w:r>
      <w:proofErr w:type="gramStart"/>
      <w:r w:rsidR="00E3362E">
        <w:t>During</w:t>
      </w:r>
      <w:proofErr w:type="gramEnd"/>
      <w:r w:rsidR="00E3362E">
        <w:t xml:space="preserve"> Wound Dressing C</w:t>
      </w:r>
      <w:r w:rsidR="00F95EB6" w:rsidRPr="00E83B9C">
        <w:t>hanges. J Burn Care Res. 2007. 28(5): p. 694-702.</w:t>
      </w:r>
    </w:p>
    <w:p w14:paraId="629277AF" w14:textId="7D2C135B" w:rsidR="00F95EB6" w:rsidRPr="00E83B9C" w:rsidRDefault="00F95EB6" w:rsidP="00F95EB6">
      <w:pPr>
        <w:pStyle w:val="ListParagraph"/>
        <w:numPr>
          <w:ilvl w:val="0"/>
          <w:numId w:val="22"/>
        </w:numPr>
        <w:autoSpaceDE w:val="0"/>
        <w:autoSpaceDN w:val="0"/>
        <w:adjustRightInd w:val="0"/>
        <w:spacing w:after="0" w:line="360" w:lineRule="auto"/>
      </w:pPr>
      <w:r w:rsidRPr="00E83B9C">
        <w:t xml:space="preserve">Furman E, </w:t>
      </w:r>
      <w:proofErr w:type="spellStart"/>
      <w:r w:rsidRPr="00E83B9C">
        <w:t>Jasinevicius</w:t>
      </w:r>
      <w:proofErr w:type="spellEnd"/>
      <w:r w:rsidRPr="00E83B9C">
        <w:t xml:space="preserve"> TR, </w:t>
      </w:r>
      <w:proofErr w:type="spellStart"/>
      <w:r w:rsidRPr="00E83B9C">
        <w:t>Bissada</w:t>
      </w:r>
      <w:proofErr w:type="spellEnd"/>
      <w:r w:rsidRPr="00E83B9C">
        <w:t xml:space="preserve"> NF, </w:t>
      </w:r>
      <w:proofErr w:type="spellStart"/>
      <w:r w:rsidRPr="00E83B9C">
        <w:t>Victoroff</w:t>
      </w:r>
      <w:proofErr w:type="spellEnd"/>
      <w:r w:rsidRPr="00E83B9C">
        <w:t xml:space="preserve"> KZ, </w:t>
      </w:r>
      <w:proofErr w:type="spellStart"/>
      <w:r w:rsidRPr="00E83B9C">
        <w:t>Sk</w:t>
      </w:r>
      <w:r w:rsidR="00E3362E">
        <w:t>illicorn</w:t>
      </w:r>
      <w:proofErr w:type="spellEnd"/>
      <w:r w:rsidR="00E3362E">
        <w:t xml:space="preserve"> R, Buchner M. Virtual Reality D</w:t>
      </w:r>
      <w:r w:rsidRPr="00E83B9C">
        <w:t xml:space="preserve">istraction for </w:t>
      </w:r>
      <w:r w:rsidR="00E3362E">
        <w:t>P</w:t>
      </w:r>
      <w:r w:rsidRPr="00E83B9C">
        <w:t xml:space="preserve">ain </w:t>
      </w:r>
      <w:r w:rsidR="00E3362E">
        <w:t>C</w:t>
      </w:r>
      <w:r w:rsidRPr="00E83B9C">
        <w:t xml:space="preserve">ontrol </w:t>
      </w:r>
      <w:r w:rsidR="00E3362E">
        <w:t>D</w:t>
      </w:r>
      <w:r w:rsidRPr="00E83B9C">
        <w:t xml:space="preserve">uring </w:t>
      </w:r>
      <w:r w:rsidR="00E3362E">
        <w:t>P</w:t>
      </w:r>
      <w:r w:rsidRPr="00E83B9C">
        <w:t xml:space="preserve">eriodontal </w:t>
      </w:r>
      <w:r w:rsidR="00E3362E">
        <w:t>S</w:t>
      </w:r>
      <w:r w:rsidRPr="00E83B9C">
        <w:t xml:space="preserve">caling and </w:t>
      </w:r>
      <w:r w:rsidR="00E3362E">
        <w:t>R</w:t>
      </w:r>
      <w:r w:rsidRPr="00E83B9C">
        <w:t xml:space="preserve">oot </w:t>
      </w:r>
      <w:proofErr w:type="spellStart"/>
      <w:r w:rsidR="00E3362E">
        <w:t>P</w:t>
      </w:r>
      <w:r w:rsidRPr="00E83B9C">
        <w:t>laning</w:t>
      </w:r>
      <w:proofErr w:type="spellEnd"/>
      <w:r w:rsidRPr="00E83B9C">
        <w:t xml:space="preserve"> </w:t>
      </w:r>
      <w:r w:rsidR="00E3362E">
        <w:t>P</w:t>
      </w:r>
      <w:r w:rsidRPr="00E83B9C">
        <w:t>rocedures. The Journal of the American Dental Association, 2009. 140(12): p. 1508-16.</w:t>
      </w:r>
    </w:p>
    <w:p w14:paraId="280668F1" w14:textId="73A97AAF" w:rsidR="00F95EB6" w:rsidRPr="00E83B9C" w:rsidRDefault="005A75F1" w:rsidP="00F95EB6">
      <w:pPr>
        <w:pStyle w:val="EndNoteBibliography"/>
        <w:numPr>
          <w:ilvl w:val="0"/>
          <w:numId w:val="22"/>
        </w:numPr>
        <w:spacing w:after="0" w:line="360" w:lineRule="auto"/>
      </w:pPr>
      <w:hyperlink r:id="rId14" w:history="1">
        <w:r w:rsidR="00F95EB6" w:rsidRPr="00E83B9C">
          <w:t>Maani CV</w:t>
        </w:r>
      </w:hyperlink>
      <w:r w:rsidR="00F95EB6" w:rsidRPr="00E83B9C">
        <w:t>, </w:t>
      </w:r>
      <w:hyperlink r:id="rId15" w:history="1">
        <w:r w:rsidR="00F95EB6" w:rsidRPr="00E83B9C">
          <w:t>Hoffman HG</w:t>
        </w:r>
      </w:hyperlink>
      <w:r w:rsidR="00F95EB6" w:rsidRPr="00E83B9C">
        <w:t>, </w:t>
      </w:r>
      <w:hyperlink r:id="rId16" w:history="1">
        <w:r w:rsidR="00F95EB6" w:rsidRPr="00E83B9C">
          <w:t>Morrow M</w:t>
        </w:r>
      </w:hyperlink>
      <w:r w:rsidR="00F95EB6" w:rsidRPr="00E83B9C">
        <w:t>, </w:t>
      </w:r>
      <w:hyperlink r:id="rId17" w:history="1">
        <w:r w:rsidR="00F95EB6" w:rsidRPr="00E83B9C">
          <w:t>Maiers A</w:t>
        </w:r>
      </w:hyperlink>
      <w:r w:rsidR="00F95EB6" w:rsidRPr="00E83B9C">
        <w:t>, </w:t>
      </w:r>
      <w:hyperlink r:id="rId18" w:history="1">
        <w:r w:rsidR="00F95EB6" w:rsidRPr="00E83B9C">
          <w:t>Gaylord K</w:t>
        </w:r>
      </w:hyperlink>
      <w:r w:rsidR="00F95EB6" w:rsidRPr="00E83B9C">
        <w:t>, </w:t>
      </w:r>
      <w:hyperlink r:id="rId19" w:history="1">
        <w:r w:rsidR="00F95EB6" w:rsidRPr="00E83B9C">
          <w:t>McGhee LL</w:t>
        </w:r>
      </w:hyperlink>
      <w:r w:rsidR="00F95EB6" w:rsidRPr="00E83B9C">
        <w:t>, </w:t>
      </w:r>
      <w:hyperlink r:id="rId20" w:history="1">
        <w:r w:rsidR="00F95EB6" w:rsidRPr="00E83B9C">
          <w:t>DeSocio PA</w:t>
        </w:r>
      </w:hyperlink>
      <w:r w:rsidR="00E3362E">
        <w:t>. Virtual R</w:t>
      </w:r>
      <w:r w:rsidR="00F95EB6" w:rsidRPr="00E83B9C">
        <w:t xml:space="preserve">eality </w:t>
      </w:r>
      <w:r w:rsidR="00E3362E">
        <w:t>P</w:t>
      </w:r>
      <w:r w:rsidR="00F95EB6" w:rsidRPr="00E83B9C">
        <w:t xml:space="preserve">ain </w:t>
      </w:r>
      <w:r w:rsidR="00E3362E">
        <w:t>C</w:t>
      </w:r>
      <w:r w:rsidR="00F95EB6" w:rsidRPr="00E83B9C">
        <w:t xml:space="preserve">ontrol </w:t>
      </w:r>
      <w:r w:rsidR="00E3362E">
        <w:t>D</w:t>
      </w:r>
      <w:r w:rsidR="00F95EB6" w:rsidRPr="00E83B9C">
        <w:t xml:space="preserve">uring </w:t>
      </w:r>
      <w:r w:rsidR="00E3362E">
        <w:t>B</w:t>
      </w:r>
      <w:r w:rsidR="00F95EB6" w:rsidRPr="00E83B9C">
        <w:t xml:space="preserve">urn </w:t>
      </w:r>
      <w:r w:rsidR="00E3362E">
        <w:t>W</w:t>
      </w:r>
      <w:r w:rsidR="00F95EB6" w:rsidRPr="00E83B9C">
        <w:t xml:space="preserve">ound </w:t>
      </w:r>
      <w:r w:rsidR="00E3362E">
        <w:t>D</w:t>
      </w:r>
      <w:r w:rsidR="00F95EB6" w:rsidRPr="00E83B9C">
        <w:t xml:space="preserve">ebridement of </w:t>
      </w:r>
      <w:r w:rsidR="00E3362E">
        <w:t>C</w:t>
      </w:r>
      <w:r w:rsidR="00F95EB6" w:rsidRPr="00E83B9C">
        <w:t>ombat-</w:t>
      </w:r>
      <w:r w:rsidR="00E3362E">
        <w:t>R</w:t>
      </w:r>
      <w:r w:rsidR="00F95EB6" w:rsidRPr="00E83B9C">
        <w:t xml:space="preserve">elated </w:t>
      </w:r>
      <w:r w:rsidR="00E3362E">
        <w:t>B</w:t>
      </w:r>
      <w:r w:rsidR="00F95EB6" w:rsidRPr="00E83B9C">
        <w:t xml:space="preserve">urn </w:t>
      </w:r>
      <w:r w:rsidR="00E3362E">
        <w:t>I</w:t>
      </w:r>
      <w:r w:rsidR="00F95EB6" w:rsidRPr="00E83B9C">
        <w:t xml:space="preserve">njuries </w:t>
      </w:r>
      <w:r w:rsidR="00E3362E">
        <w:t>U</w:t>
      </w:r>
      <w:r w:rsidR="00F95EB6" w:rsidRPr="00E83B9C">
        <w:t xml:space="preserve">sing </w:t>
      </w:r>
      <w:r w:rsidR="00E3362E">
        <w:t>R</w:t>
      </w:r>
      <w:r w:rsidR="00F95EB6" w:rsidRPr="00E83B9C">
        <w:t>obot-</w:t>
      </w:r>
      <w:r w:rsidR="00E3362E">
        <w:t>L</w:t>
      </w:r>
      <w:r w:rsidR="00F95EB6" w:rsidRPr="00E83B9C">
        <w:t xml:space="preserve">ike </w:t>
      </w:r>
      <w:r w:rsidR="00E3362E">
        <w:t>A</w:t>
      </w:r>
      <w:r w:rsidR="00F95EB6" w:rsidRPr="00E83B9C">
        <w:t xml:space="preserve">rm </w:t>
      </w:r>
      <w:r w:rsidR="00E3362E">
        <w:t>M</w:t>
      </w:r>
      <w:r w:rsidR="00F95EB6" w:rsidRPr="00E83B9C">
        <w:t>ounted VR goggles. J Trauma. 2011. 71(1 Suppl): p. S125-30.</w:t>
      </w:r>
    </w:p>
    <w:p w14:paraId="18F49C67" w14:textId="650224BC" w:rsidR="00F95EB6" w:rsidRPr="00E83B9C" w:rsidRDefault="00F95EB6" w:rsidP="00F95EB6">
      <w:pPr>
        <w:pStyle w:val="EndNoteBibliography"/>
        <w:numPr>
          <w:ilvl w:val="0"/>
          <w:numId w:val="22"/>
        </w:numPr>
        <w:spacing w:after="0" w:line="360" w:lineRule="auto"/>
      </w:pPr>
      <w:r w:rsidRPr="00E83B9C">
        <w:t xml:space="preserve">Gershon J, Zimand E, Pickering M, Rothbaum BO, Hodges L. A </w:t>
      </w:r>
      <w:r w:rsidR="00E3362E">
        <w:t>P</w:t>
      </w:r>
      <w:r w:rsidRPr="00E83B9C">
        <w:t xml:space="preserve">ilot and </w:t>
      </w:r>
      <w:r w:rsidR="00E3362E">
        <w:t>F</w:t>
      </w:r>
      <w:r w:rsidRPr="00E83B9C">
        <w:t xml:space="preserve">easibility </w:t>
      </w:r>
      <w:r w:rsidR="00E3362E">
        <w:t>S</w:t>
      </w:r>
      <w:r w:rsidRPr="00E83B9C">
        <w:t xml:space="preserve">tudy of </w:t>
      </w:r>
      <w:r w:rsidR="00E3362E">
        <w:t>V</w:t>
      </w:r>
      <w:r w:rsidRPr="00E83B9C">
        <w:t xml:space="preserve">irtual </w:t>
      </w:r>
      <w:r w:rsidR="00E3362E">
        <w:t>R</w:t>
      </w:r>
      <w:r w:rsidRPr="00E83B9C">
        <w:t xml:space="preserve">eality as a </w:t>
      </w:r>
      <w:r w:rsidR="00E3362E">
        <w:t>D</w:t>
      </w:r>
      <w:r w:rsidRPr="00E83B9C">
        <w:t xml:space="preserve">istraction </w:t>
      </w:r>
      <w:r w:rsidR="00E3362E">
        <w:t>F</w:t>
      </w:r>
      <w:r w:rsidRPr="00E83B9C">
        <w:t xml:space="preserve">or </w:t>
      </w:r>
      <w:r w:rsidR="00E3362E">
        <w:t>C</w:t>
      </w:r>
      <w:r w:rsidRPr="00E83B9C">
        <w:t xml:space="preserve">hildren </w:t>
      </w:r>
      <w:r w:rsidR="00E3362E">
        <w:t>W</w:t>
      </w:r>
      <w:r w:rsidRPr="00E83B9C">
        <w:t xml:space="preserve">ith </w:t>
      </w:r>
      <w:r w:rsidR="00E3362E">
        <w:t>C</w:t>
      </w:r>
      <w:r w:rsidRPr="00E83B9C">
        <w:t>ancer. J Am Acad Child Adolesc Psychiatry. 2004. 43(10): p. 1243-9.</w:t>
      </w:r>
    </w:p>
    <w:p w14:paraId="7B20CD64" w14:textId="77777777" w:rsidR="00F95EB6" w:rsidRPr="00E83B9C" w:rsidRDefault="00F95EB6" w:rsidP="00F95EB6">
      <w:pPr>
        <w:pStyle w:val="ListParagraph"/>
        <w:numPr>
          <w:ilvl w:val="0"/>
          <w:numId w:val="22"/>
        </w:numPr>
        <w:shd w:val="clear" w:color="auto" w:fill="FFFFFF"/>
        <w:spacing w:before="120" w:after="120" w:line="360" w:lineRule="auto"/>
      </w:pPr>
      <w:r w:rsidRPr="00E83B9C">
        <w:t xml:space="preserve">Chan P, Scharf S. Virtual Reality as an Adjunctive Non-Pharmacological Sedative </w:t>
      </w:r>
      <w:proofErr w:type="gramStart"/>
      <w:r w:rsidRPr="00E83B9C">
        <w:t>During</w:t>
      </w:r>
      <w:proofErr w:type="gramEnd"/>
      <w:r w:rsidRPr="00E83B9C">
        <w:t xml:space="preserve"> Orthopedic Surgery under Regional Anesthesia: A Pilot and Feasibility Study. </w:t>
      </w:r>
      <w:hyperlink r:id="rId21" w:tooltip="Anesthesia and analgesia." w:history="1">
        <w:proofErr w:type="spellStart"/>
        <w:r w:rsidRPr="00E83B9C">
          <w:t>Anesth</w:t>
        </w:r>
        <w:proofErr w:type="spellEnd"/>
        <w:r w:rsidRPr="00E83B9C">
          <w:t xml:space="preserve"> </w:t>
        </w:r>
        <w:proofErr w:type="spellStart"/>
        <w:r w:rsidRPr="00E83B9C">
          <w:t>Analg</w:t>
        </w:r>
        <w:proofErr w:type="spellEnd"/>
        <w:r w:rsidRPr="00E83B9C">
          <w:t>.</w:t>
        </w:r>
      </w:hyperlink>
      <w:r w:rsidRPr="00E83B9C">
        <w:t> 2017 Oct</w:t>
      </w:r>
      <w:proofErr w:type="gramStart"/>
      <w:r w:rsidRPr="00E83B9C">
        <w:t>;125</w:t>
      </w:r>
      <w:proofErr w:type="gramEnd"/>
      <w:r w:rsidRPr="00E83B9C">
        <w:t xml:space="preserve">(4):1200-1202. </w:t>
      </w:r>
    </w:p>
    <w:p w14:paraId="34747B73" w14:textId="77777777" w:rsidR="00F95EB6" w:rsidRPr="00E83B9C" w:rsidRDefault="005A75F1" w:rsidP="00F95EB6">
      <w:pPr>
        <w:pStyle w:val="ListParagraph"/>
        <w:numPr>
          <w:ilvl w:val="0"/>
          <w:numId w:val="22"/>
        </w:numPr>
        <w:shd w:val="clear" w:color="auto" w:fill="FFFFFF"/>
        <w:autoSpaceDE w:val="0"/>
        <w:autoSpaceDN w:val="0"/>
        <w:adjustRightInd w:val="0"/>
        <w:spacing w:before="120" w:after="0" w:line="360" w:lineRule="auto"/>
      </w:pPr>
      <w:hyperlink r:id="rId22" w:history="1">
        <w:r w:rsidR="00F95EB6" w:rsidRPr="00E83B9C">
          <w:t>Tanja-Dijkstra K</w:t>
        </w:r>
      </w:hyperlink>
      <w:r w:rsidR="00F95EB6" w:rsidRPr="00E83B9C">
        <w:t>, </w:t>
      </w:r>
      <w:proofErr w:type="spellStart"/>
      <w:r w:rsidR="00F95EB6" w:rsidRPr="00E83B9C">
        <w:fldChar w:fldCharType="begin"/>
      </w:r>
      <w:r w:rsidR="00F95EB6" w:rsidRPr="00E83B9C">
        <w:instrText xml:space="preserve"> HYPERLINK "https://www.ncbi.nlm.nih.gov/pubmed/?term=Pahl%20S%5BAuthor%5D&amp;cauthor=true&amp;cauthor_uid=29899576" </w:instrText>
      </w:r>
      <w:r w:rsidR="00F95EB6" w:rsidRPr="00E83B9C">
        <w:fldChar w:fldCharType="separate"/>
      </w:r>
      <w:r w:rsidR="00F95EB6" w:rsidRPr="00E83B9C">
        <w:t>Pahl</w:t>
      </w:r>
      <w:proofErr w:type="spellEnd"/>
      <w:r w:rsidR="00F95EB6" w:rsidRPr="00E83B9C">
        <w:t xml:space="preserve"> S</w:t>
      </w:r>
      <w:r w:rsidR="00F95EB6" w:rsidRPr="00E83B9C">
        <w:fldChar w:fldCharType="end"/>
      </w:r>
      <w:r w:rsidR="00F95EB6" w:rsidRPr="00E83B9C">
        <w:t>, </w:t>
      </w:r>
      <w:hyperlink r:id="rId23" w:history="1">
        <w:r w:rsidR="00F95EB6" w:rsidRPr="00E83B9C">
          <w:t>White MP</w:t>
        </w:r>
      </w:hyperlink>
      <w:r w:rsidR="00F95EB6" w:rsidRPr="00E83B9C">
        <w:t>, </w:t>
      </w:r>
      <w:proofErr w:type="spellStart"/>
      <w:r w:rsidR="00F95EB6" w:rsidRPr="00E83B9C">
        <w:fldChar w:fldCharType="begin"/>
      </w:r>
      <w:r w:rsidR="00F95EB6" w:rsidRPr="00E83B9C">
        <w:instrText xml:space="preserve"> HYPERLINK "https://www.ncbi.nlm.nih.gov/pubmed/?term=Auvray%20M%5BAuthor%5D&amp;cauthor=true&amp;cauthor_uid=29899576" </w:instrText>
      </w:r>
      <w:r w:rsidR="00F95EB6" w:rsidRPr="00E83B9C">
        <w:fldChar w:fldCharType="separate"/>
      </w:r>
      <w:r w:rsidR="00F95EB6" w:rsidRPr="00E83B9C">
        <w:t>Auvray</w:t>
      </w:r>
      <w:proofErr w:type="spellEnd"/>
      <w:r w:rsidR="00F95EB6" w:rsidRPr="00E83B9C">
        <w:t xml:space="preserve"> M</w:t>
      </w:r>
      <w:r w:rsidR="00F95EB6" w:rsidRPr="00E83B9C">
        <w:fldChar w:fldCharType="end"/>
      </w:r>
      <w:r w:rsidR="00F95EB6" w:rsidRPr="00E83B9C">
        <w:t>, </w:t>
      </w:r>
      <w:hyperlink r:id="rId24" w:history="1">
        <w:r w:rsidR="00F95EB6" w:rsidRPr="00E83B9C">
          <w:t>Stone RJ</w:t>
        </w:r>
      </w:hyperlink>
      <w:r w:rsidR="00F95EB6" w:rsidRPr="00E83B9C">
        <w:t>, </w:t>
      </w:r>
      <w:hyperlink r:id="rId25" w:history="1">
        <w:r w:rsidR="00F95EB6" w:rsidRPr="00E83B9C">
          <w:t>Andrade J</w:t>
        </w:r>
      </w:hyperlink>
      <w:r w:rsidR="00F95EB6" w:rsidRPr="00E83B9C">
        <w:t>, </w:t>
      </w:r>
      <w:hyperlink r:id="rId26" w:history="1">
        <w:r w:rsidR="00F95EB6" w:rsidRPr="00E83B9C">
          <w:t>May J</w:t>
        </w:r>
      </w:hyperlink>
      <w:r w:rsidR="00F95EB6" w:rsidRPr="00E83B9C">
        <w:t>1, </w:t>
      </w:r>
      <w:hyperlink r:id="rId27" w:history="1">
        <w:r w:rsidR="00F95EB6" w:rsidRPr="00E83B9C">
          <w:t>Mills I</w:t>
        </w:r>
      </w:hyperlink>
      <w:r w:rsidR="00F95EB6" w:rsidRPr="00E83B9C">
        <w:t>, </w:t>
      </w:r>
      <w:hyperlink r:id="rId28" w:history="1">
        <w:r w:rsidR="00F95EB6" w:rsidRPr="00E83B9C">
          <w:t>Moles DR</w:t>
        </w:r>
      </w:hyperlink>
      <w:r w:rsidR="00F95EB6" w:rsidRPr="00E83B9C">
        <w:t xml:space="preserve">. The Soothing Sea: A Virtual Coastal Walk Can Reduce Experienced and Recollected Pain. </w:t>
      </w:r>
      <w:hyperlink r:id="rId29" w:tooltip="Environment and behavior." w:history="1">
        <w:r w:rsidR="00F95EB6" w:rsidRPr="00E83B9C">
          <w:t xml:space="preserve">Environ </w:t>
        </w:r>
        <w:proofErr w:type="spellStart"/>
        <w:r w:rsidR="00F95EB6" w:rsidRPr="00E83B9C">
          <w:t>Behav</w:t>
        </w:r>
        <w:proofErr w:type="spellEnd"/>
        <w:r w:rsidR="00F95EB6" w:rsidRPr="00E83B9C">
          <w:t>.</w:t>
        </w:r>
      </w:hyperlink>
      <w:r w:rsidR="00F95EB6" w:rsidRPr="00E83B9C">
        <w:t> 2018 Jul</w:t>
      </w:r>
      <w:proofErr w:type="gramStart"/>
      <w:r w:rsidR="00F95EB6" w:rsidRPr="00E83B9C">
        <w:t>;50</w:t>
      </w:r>
      <w:proofErr w:type="gramEnd"/>
      <w:r w:rsidR="00F95EB6" w:rsidRPr="00E83B9C">
        <w:t xml:space="preserve">(6):599-625. </w:t>
      </w:r>
    </w:p>
    <w:p w14:paraId="73B0C9DC" w14:textId="77777777" w:rsidR="00F95EB6" w:rsidRPr="00E83B9C" w:rsidRDefault="00F95EB6" w:rsidP="00F95EB6">
      <w:pPr>
        <w:pStyle w:val="ListParagraph"/>
        <w:numPr>
          <w:ilvl w:val="0"/>
          <w:numId w:val="22"/>
        </w:numPr>
        <w:shd w:val="clear" w:color="auto" w:fill="FFFFFF"/>
        <w:autoSpaceDE w:val="0"/>
        <w:autoSpaceDN w:val="0"/>
        <w:adjustRightInd w:val="0"/>
        <w:spacing w:before="120" w:after="0" w:line="360" w:lineRule="auto"/>
      </w:pPr>
      <w:proofErr w:type="spellStart"/>
      <w:r w:rsidRPr="00E83B9C">
        <w:t>Pourmand</w:t>
      </w:r>
      <w:proofErr w:type="spellEnd"/>
      <w:r w:rsidRPr="00E83B9C">
        <w:t xml:space="preserve"> A, Davis S, </w:t>
      </w:r>
      <w:proofErr w:type="spellStart"/>
      <w:r w:rsidRPr="00E83B9C">
        <w:t>Marchak</w:t>
      </w:r>
      <w:proofErr w:type="spellEnd"/>
      <w:r w:rsidRPr="00E83B9C">
        <w:t xml:space="preserve"> A, Whiteside T, </w:t>
      </w:r>
      <w:proofErr w:type="spellStart"/>
      <w:r w:rsidRPr="00E83B9C">
        <w:t>Sikka</w:t>
      </w:r>
      <w:proofErr w:type="spellEnd"/>
      <w:r w:rsidRPr="00E83B9C">
        <w:t xml:space="preserve"> N. Virtual Reality as a Clinical Tool for Pain Management. </w:t>
      </w:r>
      <w:proofErr w:type="spellStart"/>
      <w:r w:rsidRPr="00E83B9C">
        <w:t>Curr</w:t>
      </w:r>
      <w:proofErr w:type="spellEnd"/>
      <w:r w:rsidRPr="00E83B9C">
        <w:t> Pain Headache Rep. 2018 Jun 15</w:t>
      </w:r>
      <w:proofErr w:type="gramStart"/>
      <w:r w:rsidRPr="00E83B9C">
        <w:t>;22</w:t>
      </w:r>
      <w:proofErr w:type="gramEnd"/>
      <w:r w:rsidRPr="00E83B9C">
        <w:t>(8):53.</w:t>
      </w:r>
    </w:p>
    <w:p w14:paraId="603CEA04" w14:textId="1B3EF61B" w:rsidR="00F95EB6" w:rsidRPr="00E83B9C" w:rsidRDefault="005A75F1" w:rsidP="00F95EB6">
      <w:pPr>
        <w:pStyle w:val="ListParagraph"/>
        <w:numPr>
          <w:ilvl w:val="0"/>
          <w:numId w:val="22"/>
        </w:numPr>
        <w:autoSpaceDE w:val="0"/>
        <w:autoSpaceDN w:val="0"/>
        <w:adjustRightInd w:val="0"/>
        <w:spacing w:after="0" w:line="360" w:lineRule="auto"/>
      </w:pPr>
      <w:hyperlink r:id="rId30" w:history="1">
        <w:proofErr w:type="spellStart"/>
        <w:r w:rsidR="00F95EB6" w:rsidRPr="00E83B9C">
          <w:t>Piskorz</w:t>
        </w:r>
        <w:proofErr w:type="spellEnd"/>
        <w:r w:rsidR="00F95EB6" w:rsidRPr="00E83B9C">
          <w:t xml:space="preserve"> J</w:t>
        </w:r>
      </w:hyperlink>
      <w:r w:rsidR="00F95EB6" w:rsidRPr="00E83B9C">
        <w:t>, </w:t>
      </w:r>
      <w:proofErr w:type="spellStart"/>
      <w:r w:rsidR="00F95EB6" w:rsidRPr="00E83B9C">
        <w:fldChar w:fldCharType="begin"/>
      </w:r>
      <w:r w:rsidR="00F95EB6" w:rsidRPr="00E83B9C">
        <w:instrText xml:space="preserve"> HYPERLINK "https://www.ncbi.nlm.nih.gov/pubmed/?term=Czub%20M%5BAuthor%5D&amp;cauthor=true&amp;cauthor_uid=29155488" </w:instrText>
      </w:r>
      <w:r w:rsidR="00F95EB6" w:rsidRPr="00E83B9C">
        <w:fldChar w:fldCharType="separate"/>
      </w:r>
      <w:r w:rsidR="00F95EB6" w:rsidRPr="00E83B9C">
        <w:t>Czub</w:t>
      </w:r>
      <w:proofErr w:type="spellEnd"/>
      <w:r w:rsidR="00F95EB6" w:rsidRPr="00E83B9C">
        <w:t xml:space="preserve"> M</w:t>
      </w:r>
      <w:r w:rsidR="00F95EB6" w:rsidRPr="00E83B9C">
        <w:fldChar w:fldCharType="end"/>
      </w:r>
      <w:r w:rsidR="00F95EB6" w:rsidRPr="00E83B9C">
        <w:t xml:space="preserve">. Effectiveness of a </w:t>
      </w:r>
      <w:r w:rsidR="00E3362E">
        <w:t>V</w:t>
      </w:r>
      <w:r w:rsidR="00F95EB6" w:rsidRPr="00E83B9C">
        <w:t xml:space="preserve">irtual </w:t>
      </w:r>
      <w:r w:rsidR="00E3362E">
        <w:t>R</w:t>
      </w:r>
      <w:r w:rsidR="00F95EB6" w:rsidRPr="00E83B9C">
        <w:t xml:space="preserve">eality </w:t>
      </w:r>
      <w:r w:rsidR="00E3362E">
        <w:t>I</w:t>
      </w:r>
      <w:r w:rsidR="00F95EB6" w:rsidRPr="00E83B9C">
        <w:t xml:space="preserve">ntervention to </w:t>
      </w:r>
      <w:r w:rsidR="00E3362E">
        <w:t>M</w:t>
      </w:r>
      <w:r w:rsidR="00F95EB6" w:rsidRPr="00E83B9C">
        <w:t xml:space="preserve">inimize </w:t>
      </w:r>
      <w:proofErr w:type="spellStart"/>
      <w:r w:rsidR="00E3362E">
        <w:t>P</w:t>
      </w:r>
      <w:r w:rsidR="00F95EB6" w:rsidRPr="00E83B9C">
        <w:t>ediatric</w:t>
      </w:r>
      <w:proofErr w:type="spellEnd"/>
      <w:r w:rsidR="00F95EB6" w:rsidRPr="00E83B9C">
        <w:t xml:space="preserve"> </w:t>
      </w:r>
      <w:r w:rsidR="00E3362E">
        <w:t>S</w:t>
      </w:r>
      <w:r w:rsidR="00F95EB6" w:rsidRPr="00E83B9C">
        <w:t xml:space="preserve">tress and </w:t>
      </w:r>
      <w:r w:rsidR="00E3362E">
        <w:t>P</w:t>
      </w:r>
      <w:r w:rsidR="00F95EB6" w:rsidRPr="00E83B9C">
        <w:t xml:space="preserve">ain </w:t>
      </w:r>
      <w:r w:rsidR="00E3362E">
        <w:t>I</w:t>
      </w:r>
      <w:r w:rsidR="00F95EB6" w:rsidRPr="00E83B9C">
        <w:t xml:space="preserve">ntensity </w:t>
      </w:r>
      <w:proofErr w:type="gramStart"/>
      <w:r w:rsidR="00E3362E">
        <w:t>D</w:t>
      </w:r>
      <w:r w:rsidR="00F95EB6" w:rsidRPr="00E83B9C">
        <w:t>uring</w:t>
      </w:r>
      <w:proofErr w:type="gramEnd"/>
      <w:r w:rsidR="00F95EB6" w:rsidRPr="00E83B9C">
        <w:t xml:space="preserve"> </w:t>
      </w:r>
      <w:proofErr w:type="spellStart"/>
      <w:r w:rsidR="00E3362E">
        <w:t>V</w:t>
      </w:r>
      <w:r w:rsidR="00F95EB6" w:rsidRPr="00E83B9C">
        <w:t>enipuncture</w:t>
      </w:r>
      <w:proofErr w:type="spellEnd"/>
      <w:r w:rsidR="00F95EB6" w:rsidRPr="00E83B9C">
        <w:t xml:space="preserve">. </w:t>
      </w:r>
      <w:hyperlink r:id="rId31" w:tooltip="Journal for specialists in pediatric nursing : JSPN." w:history="1">
        <w:r w:rsidR="00F95EB6" w:rsidRPr="00E83B9C">
          <w:t xml:space="preserve">J Spec </w:t>
        </w:r>
        <w:proofErr w:type="spellStart"/>
        <w:r w:rsidR="00F95EB6" w:rsidRPr="00E83B9C">
          <w:t>Pediatr</w:t>
        </w:r>
        <w:proofErr w:type="spellEnd"/>
        <w:r w:rsidR="00F95EB6" w:rsidRPr="00E83B9C">
          <w:t xml:space="preserve"> </w:t>
        </w:r>
        <w:proofErr w:type="spellStart"/>
        <w:r w:rsidR="00F95EB6" w:rsidRPr="00E83B9C">
          <w:t>Nurs</w:t>
        </w:r>
        <w:proofErr w:type="spellEnd"/>
        <w:r w:rsidR="00F95EB6" w:rsidRPr="00E83B9C">
          <w:t>.</w:t>
        </w:r>
      </w:hyperlink>
      <w:r w:rsidR="00F95EB6" w:rsidRPr="00E83B9C">
        <w:t> 2018 Jan</w:t>
      </w:r>
      <w:proofErr w:type="gramStart"/>
      <w:r w:rsidR="00F95EB6" w:rsidRPr="00E83B9C">
        <w:t>;23</w:t>
      </w:r>
      <w:proofErr w:type="gramEnd"/>
      <w:r w:rsidR="00F95EB6" w:rsidRPr="00E83B9C">
        <w:t>(1).</w:t>
      </w:r>
    </w:p>
    <w:p w14:paraId="1BEA8747" w14:textId="77777777" w:rsidR="00F95EB6" w:rsidRPr="00E83B9C" w:rsidRDefault="005A75F1" w:rsidP="00F95EB6">
      <w:pPr>
        <w:pStyle w:val="ListParagraph"/>
        <w:numPr>
          <w:ilvl w:val="0"/>
          <w:numId w:val="22"/>
        </w:numPr>
        <w:autoSpaceDE w:val="0"/>
        <w:autoSpaceDN w:val="0"/>
        <w:adjustRightInd w:val="0"/>
        <w:spacing w:after="0" w:line="360" w:lineRule="auto"/>
      </w:pPr>
      <w:hyperlink r:id="rId32" w:history="1">
        <w:proofErr w:type="spellStart"/>
        <w:r w:rsidR="00F95EB6" w:rsidRPr="00E83B9C">
          <w:t>McSherry</w:t>
        </w:r>
        <w:proofErr w:type="spellEnd"/>
        <w:r w:rsidR="00F95EB6" w:rsidRPr="00E83B9C">
          <w:t xml:space="preserve"> T</w:t>
        </w:r>
      </w:hyperlink>
      <w:r w:rsidR="00F95EB6" w:rsidRPr="00E83B9C">
        <w:t>, </w:t>
      </w:r>
      <w:proofErr w:type="spellStart"/>
      <w:r w:rsidR="00F95EB6" w:rsidRPr="00E83B9C">
        <w:fldChar w:fldCharType="begin"/>
      </w:r>
      <w:r w:rsidR="00F95EB6" w:rsidRPr="00E83B9C">
        <w:instrText xml:space="preserve"> HYPERLINK "https://www.ncbi.nlm.nih.gov/pubmed/?term=Atterbury%20M%5BAuthor%5D&amp;cauthor=true&amp;cauthor_uid=28570305" </w:instrText>
      </w:r>
      <w:r w:rsidR="00F95EB6" w:rsidRPr="00E83B9C">
        <w:fldChar w:fldCharType="separate"/>
      </w:r>
      <w:r w:rsidR="00F95EB6" w:rsidRPr="00E83B9C">
        <w:t>Atterbury</w:t>
      </w:r>
      <w:proofErr w:type="spellEnd"/>
      <w:r w:rsidR="00F95EB6" w:rsidRPr="00E83B9C">
        <w:t xml:space="preserve"> M</w:t>
      </w:r>
      <w:r w:rsidR="00F95EB6" w:rsidRPr="00E83B9C">
        <w:fldChar w:fldCharType="end"/>
      </w:r>
      <w:r w:rsidR="00F95EB6" w:rsidRPr="00E83B9C">
        <w:t>, </w:t>
      </w:r>
      <w:hyperlink r:id="rId33" w:history="1">
        <w:r w:rsidR="00F95EB6" w:rsidRPr="00E83B9C">
          <w:t>Gartner S</w:t>
        </w:r>
      </w:hyperlink>
      <w:r w:rsidR="00F95EB6" w:rsidRPr="00E83B9C">
        <w:t>, </w:t>
      </w:r>
      <w:proofErr w:type="spellStart"/>
      <w:r w:rsidR="00F95EB6" w:rsidRPr="00E83B9C">
        <w:fldChar w:fldCharType="begin"/>
      </w:r>
      <w:r w:rsidR="00F95EB6" w:rsidRPr="00E83B9C">
        <w:instrText xml:space="preserve"> HYPERLINK "https://www.ncbi.nlm.nih.gov/pubmed/?term=Helmold%20E%5BAuthor%5D&amp;cauthor=true&amp;cauthor_uid=28570305" </w:instrText>
      </w:r>
      <w:r w:rsidR="00F95EB6" w:rsidRPr="00E83B9C">
        <w:fldChar w:fldCharType="separate"/>
      </w:r>
      <w:r w:rsidR="00F95EB6" w:rsidRPr="00E83B9C">
        <w:t>Helmold</w:t>
      </w:r>
      <w:proofErr w:type="spellEnd"/>
      <w:r w:rsidR="00F95EB6" w:rsidRPr="00E83B9C">
        <w:t xml:space="preserve"> E</w:t>
      </w:r>
      <w:r w:rsidR="00F95EB6" w:rsidRPr="00E83B9C">
        <w:fldChar w:fldCharType="end"/>
      </w:r>
      <w:r w:rsidR="00F95EB6" w:rsidRPr="00E83B9C">
        <w:t>, </w:t>
      </w:r>
      <w:proofErr w:type="spellStart"/>
      <w:r w:rsidR="00F95EB6" w:rsidRPr="00E83B9C">
        <w:fldChar w:fldCharType="begin"/>
      </w:r>
      <w:r w:rsidR="00F95EB6" w:rsidRPr="00E83B9C">
        <w:instrText xml:space="preserve"> HYPERLINK "https://www.ncbi.nlm.nih.gov/pubmed/?term=Searles%20DM%5BAuthor%5D&amp;cauthor=true&amp;cauthor_uid=28570305" </w:instrText>
      </w:r>
      <w:r w:rsidR="00F95EB6" w:rsidRPr="00E83B9C">
        <w:fldChar w:fldCharType="separate"/>
      </w:r>
      <w:r w:rsidR="00F95EB6" w:rsidRPr="00E83B9C">
        <w:t>Searles</w:t>
      </w:r>
      <w:proofErr w:type="spellEnd"/>
      <w:r w:rsidR="00F95EB6" w:rsidRPr="00E83B9C">
        <w:t xml:space="preserve"> DM</w:t>
      </w:r>
      <w:r w:rsidR="00F95EB6" w:rsidRPr="00E83B9C">
        <w:fldChar w:fldCharType="end"/>
      </w:r>
      <w:r w:rsidR="00F95EB6" w:rsidRPr="00E83B9C">
        <w:t>, </w:t>
      </w:r>
      <w:hyperlink r:id="rId34" w:history="1">
        <w:r w:rsidR="00F95EB6" w:rsidRPr="00E83B9C">
          <w:t>Schulman C</w:t>
        </w:r>
      </w:hyperlink>
      <w:r w:rsidR="00F95EB6" w:rsidRPr="00E83B9C">
        <w:t xml:space="preserve">. Randomized, Crossover Study of Immersive Virtual Reality to Decrease Opioid Use During Painful Wound Care Procedures in Adults. </w:t>
      </w:r>
      <w:hyperlink r:id="rId35" w:tooltip="Journal of burn care &amp; research : official publication of the American Burn Association." w:history="1">
        <w:r w:rsidR="00F95EB6" w:rsidRPr="00E83B9C">
          <w:t>J Burn Care Res.</w:t>
        </w:r>
      </w:hyperlink>
      <w:r w:rsidR="00F95EB6" w:rsidRPr="00E83B9C">
        <w:t> 2018 Feb 20</w:t>
      </w:r>
      <w:proofErr w:type="gramStart"/>
      <w:r w:rsidR="00F95EB6" w:rsidRPr="00E83B9C">
        <w:t>;39</w:t>
      </w:r>
      <w:proofErr w:type="gramEnd"/>
      <w:r w:rsidR="00F95EB6" w:rsidRPr="00E83B9C">
        <w:t xml:space="preserve">(2):278-285. </w:t>
      </w:r>
    </w:p>
    <w:p w14:paraId="0F5470E2" w14:textId="283C6CE9" w:rsidR="00F95EB6" w:rsidRPr="00E83B9C" w:rsidRDefault="005A75F1" w:rsidP="00F95EB6">
      <w:pPr>
        <w:pStyle w:val="ListParagraph"/>
        <w:numPr>
          <w:ilvl w:val="0"/>
          <w:numId w:val="22"/>
        </w:numPr>
        <w:autoSpaceDE w:val="0"/>
        <w:autoSpaceDN w:val="0"/>
        <w:adjustRightInd w:val="0"/>
        <w:spacing w:after="0" w:line="360" w:lineRule="auto"/>
      </w:pPr>
      <w:hyperlink r:id="rId36" w:history="1">
        <w:r w:rsidR="00F95EB6" w:rsidRPr="00E83B9C">
          <w:t>Pandya PG</w:t>
        </w:r>
      </w:hyperlink>
      <w:r w:rsidR="00F95EB6" w:rsidRPr="00E83B9C">
        <w:t>, </w:t>
      </w:r>
      <w:hyperlink r:id="rId37" w:history="1">
        <w:r w:rsidR="00F95EB6" w:rsidRPr="00E83B9C">
          <w:t>Kim TE</w:t>
        </w:r>
      </w:hyperlink>
      <w:r w:rsidR="00F95EB6" w:rsidRPr="00E83B9C">
        <w:t>, </w:t>
      </w:r>
      <w:hyperlink r:id="rId38" w:history="1">
        <w:r w:rsidR="00F95EB6" w:rsidRPr="00E83B9C">
          <w:t>Howard SK</w:t>
        </w:r>
      </w:hyperlink>
      <w:r w:rsidR="00F95EB6" w:rsidRPr="00E83B9C">
        <w:t>, </w:t>
      </w:r>
      <w:proofErr w:type="spellStart"/>
      <w:r w:rsidR="00F95EB6" w:rsidRPr="00E83B9C">
        <w:fldChar w:fldCharType="begin"/>
      </w:r>
      <w:r w:rsidR="00F95EB6" w:rsidRPr="00E83B9C">
        <w:instrText xml:space="preserve"> HYPERLINK "https://www.ncbi.nlm.nih.gov/pubmed/?term=Stary%20E%5BAuthor%5D&amp;cauthor=true&amp;cauthor_uid=28794840" </w:instrText>
      </w:r>
      <w:r w:rsidR="00F95EB6" w:rsidRPr="00E83B9C">
        <w:fldChar w:fldCharType="separate"/>
      </w:r>
      <w:r w:rsidR="00F95EB6" w:rsidRPr="00E83B9C">
        <w:t>Stary</w:t>
      </w:r>
      <w:proofErr w:type="spellEnd"/>
      <w:r w:rsidR="00F95EB6" w:rsidRPr="00E83B9C">
        <w:t xml:space="preserve"> E</w:t>
      </w:r>
      <w:r w:rsidR="00F95EB6" w:rsidRPr="00E83B9C">
        <w:fldChar w:fldCharType="end"/>
      </w:r>
      <w:r w:rsidR="00F95EB6" w:rsidRPr="00E83B9C">
        <w:t>, </w:t>
      </w:r>
      <w:proofErr w:type="spellStart"/>
      <w:r w:rsidR="00F95EB6" w:rsidRPr="00E83B9C">
        <w:fldChar w:fldCharType="begin"/>
      </w:r>
      <w:r w:rsidR="00F95EB6" w:rsidRPr="00E83B9C">
        <w:instrText xml:space="preserve"> HYPERLINK "https://www.ncbi.nlm.nih.gov/pubmed/?term=Leng%20JC%5BAuthor%5D&amp;cauthor=true&amp;cauthor_uid=28794840" </w:instrText>
      </w:r>
      <w:r w:rsidR="00F95EB6" w:rsidRPr="00E83B9C">
        <w:fldChar w:fldCharType="separate"/>
      </w:r>
      <w:r w:rsidR="00F95EB6" w:rsidRPr="00E83B9C">
        <w:t>Leng</w:t>
      </w:r>
      <w:proofErr w:type="spellEnd"/>
      <w:r w:rsidR="00F95EB6" w:rsidRPr="00E83B9C">
        <w:t xml:space="preserve"> JC</w:t>
      </w:r>
      <w:r w:rsidR="00F95EB6" w:rsidRPr="00E83B9C">
        <w:fldChar w:fldCharType="end"/>
      </w:r>
      <w:r w:rsidR="00F95EB6" w:rsidRPr="00E83B9C">
        <w:t>, </w:t>
      </w:r>
      <w:hyperlink r:id="rId39" w:history="1">
        <w:r w:rsidR="00F95EB6" w:rsidRPr="00E83B9C">
          <w:t>Hunter OO</w:t>
        </w:r>
      </w:hyperlink>
      <w:r w:rsidR="00F95EB6" w:rsidRPr="00E83B9C">
        <w:t>, </w:t>
      </w:r>
      <w:hyperlink r:id="rId40" w:history="1">
        <w:r w:rsidR="00F95EB6" w:rsidRPr="00E83B9C">
          <w:t>Mariano ER</w:t>
        </w:r>
      </w:hyperlink>
      <w:r w:rsidR="00F95EB6" w:rsidRPr="00E83B9C">
        <w:t xml:space="preserve">. Virtual </w:t>
      </w:r>
      <w:r w:rsidR="00E3362E">
        <w:t>R</w:t>
      </w:r>
      <w:r w:rsidR="00F95EB6" w:rsidRPr="00E83B9C">
        <w:t xml:space="preserve">eality </w:t>
      </w:r>
      <w:r w:rsidR="00E3362E">
        <w:t>D</w:t>
      </w:r>
      <w:r w:rsidR="00F95EB6" w:rsidRPr="00E83B9C">
        <w:t xml:space="preserve">istraction </w:t>
      </w:r>
      <w:r w:rsidR="00E3362E">
        <w:t>D</w:t>
      </w:r>
      <w:r w:rsidR="00F95EB6" w:rsidRPr="00E83B9C">
        <w:t xml:space="preserve">ecreases </w:t>
      </w:r>
      <w:r w:rsidR="00E3362E">
        <w:t>R</w:t>
      </w:r>
      <w:r w:rsidR="00F95EB6" w:rsidRPr="00E83B9C">
        <w:t xml:space="preserve">outine </w:t>
      </w:r>
      <w:r w:rsidR="00E3362E">
        <w:t>I</w:t>
      </w:r>
      <w:r w:rsidR="00F95EB6" w:rsidRPr="00E83B9C">
        <w:t xml:space="preserve">ntravenous </w:t>
      </w:r>
      <w:r w:rsidR="00E3362E">
        <w:t>S</w:t>
      </w:r>
      <w:r w:rsidR="00F95EB6" w:rsidRPr="00E83B9C">
        <w:t xml:space="preserve">edation and </w:t>
      </w:r>
      <w:r w:rsidR="00E3362E">
        <w:t>P</w:t>
      </w:r>
      <w:r w:rsidR="00F95EB6" w:rsidRPr="00E83B9C">
        <w:t>rocedure-</w:t>
      </w:r>
      <w:r w:rsidR="00E3362E">
        <w:t>R</w:t>
      </w:r>
      <w:r w:rsidR="00F95EB6" w:rsidRPr="00E83B9C">
        <w:t xml:space="preserve">elated </w:t>
      </w:r>
      <w:r w:rsidR="00E3362E">
        <w:t>P</w:t>
      </w:r>
      <w:r w:rsidR="00F95EB6" w:rsidRPr="00E83B9C">
        <w:t xml:space="preserve">ain </w:t>
      </w:r>
      <w:proofErr w:type="gramStart"/>
      <w:r w:rsidR="00E3362E">
        <w:t>D</w:t>
      </w:r>
      <w:r w:rsidR="00F95EB6" w:rsidRPr="00E83B9C">
        <w:t>uring</w:t>
      </w:r>
      <w:proofErr w:type="gramEnd"/>
      <w:r w:rsidR="00F95EB6" w:rsidRPr="00E83B9C">
        <w:t xml:space="preserve"> </w:t>
      </w:r>
      <w:r w:rsidR="00E3362E">
        <w:t>P</w:t>
      </w:r>
      <w:r w:rsidR="00F95EB6" w:rsidRPr="00E83B9C">
        <w:t xml:space="preserve">reoperative </w:t>
      </w:r>
      <w:r w:rsidR="00E3362E">
        <w:t>A</w:t>
      </w:r>
      <w:r w:rsidR="00F95EB6" w:rsidRPr="00E83B9C">
        <w:t xml:space="preserve">dductor </w:t>
      </w:r>
      <w:r w:rsidR="00E3362E">
        <w:t>C</w:t>
      </w:r>
      <w:r w:rsidR="00F95EB6" w:rsidRPr="00E83B9C">
        <w:t xml:space="preserve">anal </w:t>
      </w:r>
      <w:r w:rsidR="00E3362E">
        <w:t>C</w:t>
      </w:r>
      <w:r w:rsidR="00F95EB6" w:rsidRPr="00E83B9C">
        <w:t xml:space="preserve">atheter </w:t>
      </w:r>
      <w:r w:rsidR="00E3362E">
        <w:t>I</w:t>
      </w:r>
      <w:r w:rsidR="00F95EB6" w:rsidRPr="00E83B9C">
        <w:t xml:space="preserve">nsertion: </w:t>
      </w:r>
      <w:r w:rsidR="00E3362E">
        <w:t>A R</w:t>
      </w:r>
      <w:r w:rsidR="00F95EB6" w:rsidRPr="00E83B9C">
        <w:t xml:space="preserve">etrospective </w:t>
      </w:r>
      <w:r w:rsidR="00E3362E">
        <w:t>S</w:t>
      </w:r>
      <w:r w:rsidR="00F95EB6" w:rsidRPr="00E83B9C">
        <w:t xml:space="preserve">tudy. </w:t>
      </w:r>
      <w:hyperlink r:id="rId41" w:tooltip="Korean journal of anesthesiology." w:history="1">
        <w:r w:rsidR="00F95EB6" w:rsidRPr="00E83B9C">
          <w:t xml:space="preserve">Korean J </w:t>
        </w:r>
        <w:proofErr w:type="spellStart"/>
        <w:r w:rsidR="00F95EB6" w:rsidRPr="00E83B9C">
          <w:t>Anesthesiol</w:t>
        </w:r>
        <w:proofErr w:type="spellEnd"/>
        <w:r w:rsidR="00F95EB6" w:rsidRPr="00E83B9C">
          <w:t>.</w:t>
        </w:r>
      </w:hyperlink>
      <w:r w:rsidR="00F95EB6" w:rsidRPr="00E83B9C">
        <w:t> 2017 Aug</w:t>
      </w:r>
      <w:proofErr w:type="gramStart"/>
      <w:r w:rsidR="00F95EB6" w:rsidRPr="00E83B9C">
        <w:t>;70</w:t>
      </w:r>
      <w:proofErr w:type="gramEnd"/>
      <w:r w:rsidR="00F95EB6" w:rsidRPr="00E83B9C">
        <w:t>(4):439-445.</w:t>
      </w:r>
    </w:p>
    <w:p w14:paraId="357B4985" w14:textId="77777777" w:rsidR="00F95EB6" w:rsidRPr="00E83B9C" w:rsidRDefault="00F95EB6" w:rsidP="00F95EB6">
      <w:pPr>
        <w:pStyle w:val="ListParagraph"/>
        <w:numPr>
          <w:ilvl w:val="0"/>
          <w:numId w:val="22"/>
        </w:numPr>
        <w:autoSpaceDE w:val="0"/>
        <w:autoSpaceDN w:val="0"/>
        <w:adjustRightInd w:val="0"/>
        <w:spacing w:after="0" w:line="360" w:lineRule="auto"/>
      </w:pPr>
      <w:proofErr w:type="spellStart"/>
      <w:r w:rsidRPr="00E83B9C">
        <w:t>AppliedVr</w:t>
      </w:r>
      <w:proofErr w:type="spellEnd"/>
      <w:r w:rsidRPr="00E83B9C">
        <w:t>. Available at: http://www.appliedvr.io Accessed July 20, 2018</w:t>
      </w:r>
    </w:p>
    <w:p w14:paraId="55C04EBA" w14:textId="312ADFD1" w:rsidR="00F95EB6" w:rsidRPr="00E83B9C" w:rsidRDefault="00F95EB6" w:rsidP="00F95EB6">
      <w:pPr>
        <w:pStyle w:val="ListParagraph"/>
        <w:numPr>
          <w:ilvl w:val="0"/>
          <w:numId w:val="22"/>
        </w:numPr>
        <w:shd w:val="clear" w:color="auto" w:fill="FFFFFF"/>
        <w:autoSpaceDE w:val="0"/>
        <w:autoSpaceDN w:val="0"/>
        <w:adjustRightInd w:val="0"/>
        <w:spacing w:before="120" w:after="120" w:line="360" w:lineRule="auto"/>
      </w:pPr>
      <w:proofErr w:type="spellStart"/>
      <w:r w:rsidRPr="00E83B9C">
        <w:t>I</w:t>
      </w:r>
      <w:hyperlink r:id="rId42" w:history="1">
        <w:r w:rsidRPr="00E83B9C">
          <w:t>ndovina</w:t>
        </w:r>
        <w:proofErr w:type="spellEnd"/>
        <w:r w:rsidRPr="00E83B9C">
          <w:t xml:space="preserve"> P</w:t>
        </w:r>
      </w:hyperlink>
      <w:r w:rsidRPr="00E83B9C">
        <w:t>, </w:t>
      </w:r>
      <w:hyperlink r:id="rId43" w:history="1">
        <w:r w:rsidRPr="00E83B9C">
          <w:t>Barone D</w:t>
        </w:r>
      </w:hyperlink>
      <w:r w:rsidRPr="00E83B9C">
        <w:t>, </w:t>
      </w:r>
      <w:hyperlink r:id="rId44" w:history="1">
        <w:r w:rsidRPr="00E83B9C">
          <w:t>Gallo L</w:t>
        </w:r>
      </w:hyperlink>
      <w:r w:rsidRPr="00E83B9C">
        <w:t>, </w:t>
      </w:r>
      <w:hyperlink r:id="rId45" w:history="1">
        <w:r w:rsidRPr="00E83B9C">
          <w:t>Chirico A</w:t>
        </w:r>
      </w:hyperlink>
      <w:r w:rsidRPr="00E83B9C">
        <w:t>, </w:t>
      </w:r>
      <w:hyperlink r:id="rId46" w:history="1">
        <w:r w:rsidRPr="00E83B9C">
          <w:t>De Pietro G</w:t>
        </w:r>
      </w:hyperlink>
      <w:r w:rsidRPr="00E83B9C">
        <w:t>, </w:t>
      </w:r>
      <w:hyperlink r:id="rId47" w:history="1">
        <w:r w:rsidRPr="00E83B9C">
          <w:t>Antonio G</w:t>
        </w:r>
      </w:hyperlink>
      <w:r w:rsidRPr="00E83B9C">
        <w:t>.</w:t>
      </w:r>
      <w:r w:rsidR="00E3362E">
        <w:t xml:space="preserve"> </w:t>
      </w:r>
      <w:r w:rsidRPr="00E83B9C">
        <w:t xml:space="preserve">Virtual Reality as a Distraction Intervention to Relieve Pain and Distress </w:t>
      </w:r>
      <w:proofErr w:type="gramStart"/>
      <w:r w:rsidRPr="00E83B9C">
        <w:t>During</w:t>
      </w:r>
      <w:proofErr w:type="gramEnd"/>
      <w:r w:rsidRPr="00E83B9C">
        <w:t xml:space="preserve"> Medical Procedures: A Comprehensive Literature Review. </w:t>
      </w:r>
      <w:hyperlink r:id="rId48" w:tooltip="The Clinical journal of pain." w:history="1">
        <w:proofErr w:type="spellStart"/>
        <w:r w:rsidRPr="00E83B9C">
          <w:t>Clin</w:t>
        </w:r>
        <w:proofErr w:type="spellEnd"/>
        <w:r w:rsidRPr="00E83B9C">
          <w:t xml:space="preserve"> J Pain.</w:t>
        </w:r>
      </w:hyperlink>
      <w:r w:rsidRPr="00E83B9C">
        <w:t> 2018 Feb 26. [</w:t>
      </w:r>
      <w:proofErr w:type="spellStart"/>
      <w:r w:rsidRPr="00E83B9C">
        <w:t>Epub</w:t>
      </w:r>
      <w:proofErr w:type="spellEnd"/>
      <w:r w:rsidRPr="00E83B9C">
        <w:t xml:space="preserve"> ahead of print]</w:t>
      </w:r>
    </w:p>
    <w:p w14:paraId="4D99267D" w14:textId="7D9A3612" w:rsidR="00F95EB6" w:rsidRPr="00E83B9C" w:rsidRDefault="005A75F1" w:rsidP="00F95EB6">
      <w:pPr>
        <w:pStyle w:val="ListParagraph"/>
        <w:numPr>
          <w:ilvl w:val="0"/>
          <w:numId w:val="22"/>
        </w:numPr>
        <w:shd w:val="clear" w:color="auto" w:fill="FFFFFF"/>
        <w:autoSpaceDE w:val="0"/>
        <w:autoSpaceDN w:val="0"/>
        <w:adjustRightInd w:val="0"/>
        <w:spacing w:before="120" w:after="120" w:line="360" w:lineRule="auto"/>
      </w:pPr>
      <w:hyperlink r:id="rId49" w:history="1">
        <w:proofErr w:type="spellStart"/>
        <w:r w:rsidR="00F95EB6" w:rsidRPr="00E83B9C">
          <w:t>Ekin</w:t>
        </w:r>
        <w:proofErr w:type="spellEnd"/>
        <w:r w:rsidR="00F95EB6" w:rsidRPr="00E83B9C">
          <w:t xml:space="preserve"> </w:t>
        </w:r>
        <w:proofErr w:type="gramStart"/>
        <w:r w:rsidR="00F95EB6" w:rsidRPr="00E83B9C">
          <w:t>A</w:t>
        </w:r>
        <w:proofErr w:type="gramEnd"/>
      </w:hyperlink>
      <w:r w:rsidR="00F95EB6" w:rsidRPr="00E83B9C">
        <w:t>, </w:t>
      </w:r>
      <w:proofErr w:type="spellStart"/>
      <w:r w:rsidR="00F95EB6" w:rsidRPr="00E83B9C">
        <w:fldChar w:fldCharType="begin"/>
      </w:r>
      <w:r w:rsidR="00F95EB6" w:rsidRPr="00E83B9C">
        <w:instrText xml:space="preserve"> HYPERLINK "https://www.ncbi.nlm.nih.gov/pubmed/?term=Donmez%20F%5BAuthor%5D&amp;cauthor=true&amp;cauthor_uid=24263045" </w:instrText>
      </w:r>
      <w:r w:rsidR="00F95EB6" w:rsidRPr="00E83B9C">
        <w:fldChar w:fldCharType="separate"/>
      </w:r>
      <w:r w:rsidR="00F95EB6" w:rsidRPr="00E83B9C">
        <w:t>Donmez</w:t>
      </w:r>
      <w:proofErr w:type="spellEnd"/>
      <w:r w:rsidR="00F95EB6" w:rsidRPr="00E83B9C">
        <w:t xml:space="preserve"> F</w:t>
      </w:r>
      <w:r w:rsidR="00F95EB6" w:rsidRPr="00E83B9C">
        <w:fldChar w:fldCharType="end"/>
      </w:r>
      <w:r w:rsidR="00F95EB6" w:rsidRPr="00E83B9C">
        <w:t>, </w:t>
      </w:r>
      <w:proofErr w:type="spellStart"/>
      <w:r w:rsidR="00F95EB6" w:rsidRPr="00E83B9C">
        <w:fldChar w:fldCharType="begin"/>
      </w:r>
      <w:r w:rsidR="00F95EB6" w:rsidRPr="00E83B9C">
        <w:instrText xml:space="preserve"> HYPERLINK "https://www.ncbi.nlm.nih.gov/pubmed/?term=Taspinar%20V%5BAuthor%5D&amp;cauthor=true&amp;cauthor_uid=24263045" </w:instrText>
      </w:r>
      <w:r w:rsidR="00F95EB6" w:rsidRPr="00E83B9C">
        <w:fldChar w:fldCharType="separate"/>
      </w:r>
      <w:r w:rsidR="00F95EB6" w:rsidRPr="00E83B9C">
        <w:t>Taspinar</w:t>
      </w:r>
      <w:proofErr w:type="spellEnd"/>
      <w:r w:rsidR="00F95EB6" w:rsidRPr="00E83B9C">
        <w:t xml:space="preserve"> V</w:t>
      </w:r>
      <w:r w:rsidR="00F95EB6" w:rsidRPr="00E83B9C">
        <w:fldChar w:fldCharType="end"/>
      </w:r>
      <w:r w:rsidR="00F95EB6" w:rsidRPr="00E83B9C">
        <w:t>, </w:t>
      </w:r>
      <w:proofErr w:type="spellStart"/>
      <w:r w:rsidR="00F95EB6" w:rsidRPr="00E83B9C">
        <w:fldChar w:fldCharType="begin"/>
      </w:r>
      <w:r w:rsidR="00F95EB6" w:rsidRPr="00E83B9C">
        <w:instrText xml:space="preserve"> HYPERLINK "https://www.ncbi.nlm.nih.gov/pubmed/?term=Dikmen%20B%5BAuthor%5D&amp;cauthor=true&amp;cauthor_uid=24263045" </w:instrText>
      </w:r>
      <w:r w:rsidR="00F95EB6" w:rsidRPr="00E83B9C">
        <w:fldChar w:fldCharType="separate"/>
      </w:r>
      <w:r w:rsidR="00F95EB6" w:rsidRPr="00E83B9C">
        <w:t>Dikmen</w:t>
      </w:r>
      <w:proofErr w:type="spellEnd"/>
      <w:r w:rsidR="00F95EB6" w:rsidRPr="00E83B9C">
        <w:t xml:space="preserve"> B</w:t>
      </w:r>
      <w:r w:rsidR="00F95EB6" w:rsidRPr="00E83B9C">
        <w:fldChar w:fldCharType="end"/>
      </w:r>
      <w:r w:rsidR="00F95EB6" w:rsidRPr="00E83B9C">
        <w:t>. Patient-</w:t>
      </w:r>
      <w:r w:rsidR="00E3362E">
        <w:t>C</w:t>
      </w:r>
      <w:r w:rsidR="00F95EB6" w:rsidRPr="00E83B9C">
        <w:t xml:space="preserve">ontrolled </w:t>
      </w:r>
      <w:r w:rsidR="00E3362E">
        <w:t>S</w:t>
      </w:r>
      <w:r w:rsidR="00F95EB6" w:rsidRPr="00E83B9C">
        <w:t xml:space="preserve">edation in </w:t>
      </w:r>
      <w:proofErr w:type="spellStart"/>
      <w:r w:rsidR="00E3362E">
        <w:t>O</w:t>
      </w:r>
      <w:r w:rsidR="00F95EB6" w:rsidRPr="00E83B9C">
        <w:t>rthopedic</w:t>
      </w:r>
      <w:proofErr w:type="spellEnd"/>
      <w:r w:rsidR="00F95EB6" w:rsidRPr="00E83B9C">
        <w:t xml:space="preserve"> </w:t>
      </w:r>
      <w:r w:rsidR="00E3362E">
        <w:t>S</w:t>
      </w:r>
      <w:r w:rsidR="00F95EB6" w:rsidRPr="00E83B9C">
        <w:t xml:space="preserve">urgery </w:t>
      </w:r>
      <w:proofErr w:type="gramStart"/>
      <w:r w:rsidR="00E3362E">
        <w:t>U</w:t>
      </w:r>
      <w:r w:rsidR="00F95EB6" w:rsidRPr="00E83B9C">
        <w:t>nder</w:t>
      </w:r>
      <w:proofErr w:type="gramEnd"/>
      <w:r w:rsidR="00F95EB6" w:rsidRPr="00E83B9C">
        <w:t xml:space="preserve"> </w:t>
      </w:r>
      <w:r w:rsidR="00E3362E">
        <w:t>R</w:t>
      </w:r>
      <w:r w:rsidR="00F95EB6" w:rsidRPr="00E83B9C">
        <w:t xml:space="preserve">egional </w:t>
      </w:r>
      <w:r w:rsidR="00E3362E">
        <w:t>A</w:t>
      </w:r>
      <w:r w:rsidR="00F95EB6" w:rsidRPr="00E83B9C">
        <w:t xml:space="preserve">nesthesia: </w:t>
      </w:r>
      <w:r w:rsidR="00E3362E">
        <w:t>A</w:t>
      </w:r>
      <w:r w:rsidR="00F95EB6" w:rsidRPr="00E83B9C">
        <w:t xml:space="preserve"> </w:t>
      </w:r>
      <w:r w:rsidR="00E3362E">
        <w:t>N</w:t>
      </w:r>
      <w:r w:rsidR="00F95EB6" w:rsidRPr="00E83B9C">
        <w:t xml:space="preserve">ew </w:t>
      </w:r>
      <w:r w:rsidR="00E3362E">
        <w:t>A</w:t>
      </w:r>
      <w:r w:rsidR="00F95EB6" w:rsidRPr="00E83B9C">
        <w:t xml:space="preserve">pproach in </w:t>
      </w:r>
      <w:r w:rsidR="00E3362E">
        <w:t>P</w:t>
      </w:r>
      <w:r w:rsidR="00F95EB6" w:rsidRPr="00E83B9C">
        <w:t xml:space="preserve">rocedural </w:t>
      </w:r>
      <w:r w:rsidR="00E3362E">
        <w:t>S</w:t>
      </w:r>
      <w:r w:rsidR="00F95EB6" w:rsidRPr="00E83B9C">
        <w:t xml:space="preserve">edation. </w:t>
      </w:r>
      <w:hyperlink r:id="rId50" w:tooltip="Brazilian journal of anesthesiology (Elsevier)." w:history="1">
        <w:proofErr w:type="spellStart"/>
        <w:r w:rsidR="00F95EB6" w:rsidRPr="00E83B9C">
          <w:t>Braz</w:t>
        </w:r>
        <w:proofErr w:type="spellEnd"/>
        <w:r w:rsidR="00F95EB6" w:rsidRPr="00E83B9C">
          <w:t xml:space="preserve"> J </w:t>
        </w:r>
        <w:proofErr w:type="spellStart"/>
        <w:r w:rsidR="00F95EB6" w:rsidRPr="00E83B9C">
          <w:t>Anesthesiol</w:t>
        </w:r>
        <w:proofErr w:type="spellEnd"/>
        <w:r w:rsidR="00F95EB6" w:rsidRPr="00E83B9C">
          <w:t>.</w:t>
        </w:r>
      </w:hyperlink>
      <w:r w:rsidR="00F95EB6" w:rsidRPr="00E83B9C">
        <w:t> 2013 Sep-Oct</w:t>
      </w:r>
      <w:proofErr w:type="gramStart"/>
      <w:r w:rsidR="00F95EB6" w:rsidRPr="00E83B9C">
        <w:t>;63</w:t>
      </w:r>
      <w:proofErr w:type="gramEnd"/>
      <w:r w:rsidR="00F95EB6" w:rsidRPr="00E83B9C">
        <w:t>(5):410-4.</w:t>
      </w:r>
    </w:p>
    <w:p w14:paraId="0EB87588" w14:textId="77777777" w:rsidR="000D2EAF" w:rsidRPr="000D2EAF" w:rsidRDefault="005A75F1" w:rsidP="000D2EAF">
      <w:pPr>
        <w:pStyle w:val="ListParagraph"/>
        <w:numPr>
          <w:ilvl w:val="0"/>
          <w:numId w:val="22"/>
        </w:numPr>
        <w:shd w:val="clear" w:color="auto" w:fill="FFFFFF"/>
        <w:autoSpaceDE w:val="0"/>
        <w:autoSpaceDN w:val="0"/>
        <w:adjustRightInd w:val="0"/>
        <w:spacing w:after="360" w:line="360" w:lineRule="auto"/>
        <w:rPr>
          <w:lang w:val="en"/>
        </w:rPr>
      </w:pPr>
      <w:hyperlink r:id="rId51" w:history="1">
        <w:proofErr w:type="spellStart"/>
        <w:r w:rsidR="00F95EB6" w:rsidRPr="00E83B9C">
          <w:t>Kreienbühl</w:t>
        </w:r>
        <w:proofErr w:type="spellEnd"/>
        <w:r w:rsidR="00F95EB6" w:rsidRPr="00E83B9C">
          <w:t xml:space="preserve"> L</w:t>
        </w:r>
      </w:hyperlink>
      <w:r w:rsidR="00F95EB6" w:rsidRPr="00E83B9C">
        <w:t>, </w:t>
      </w:r>
      <w:hyperlink r:id="rId52" w:history="1">
        <w:r w:rsidR="00F95EB6" w:rsidRPr="00E83B9C">
          <w:t>Elia N</w:t>
        </w:r>
      </w:hyperlink>
      <w:r w:rsidR="00F95EB6" w:rsidRPr="00E83B9C">
        <w:t>, </w:t>
      </w:r>
      <w:proofErr w:type="spellStart"/>
      <w:r w:rsidR="00F95EB6" w:rsidRPr="00E83B9C">
        <w:fldChar w:fldCharType="begin"/>
      </w:r>
      <w:r w:rsidR="00F95EB6" w:rsidRPr="00E83B9C">
        <w:instrText xml:space="preserve"> HYPERLINK "https://www.ncbi.nlm.nih.gov/pubmed/?term=Pfeil-Beun%20E%5BAuthor%5D&amp;cauthor=true&amp;cauthor_uid=29750696" </w:instrText>
      </w:r>
      <w:r w:rsidR="00F95EB6" w:rsidRPr="00E83B9C">
        <w:fldChar w:fldCharType="separate"/>
      </w:r>
      <w:r w:rsidR="00F95EB6" w:rsidRPr="00E83B9C">
        <w:t>Pfeil-Beun</w:t>
      </w:r>
      <w:proofErr w:type="spellEnd"/>
      <w:r w:rsidR="00F95EB6" w:rsidRPr="00E83B9C">
        <w:t xml:space="preserve"> E</w:t>
      </w:r>
      <w:r w:rsidR="00F95EB6" w:rsidRPr="00E83B9C">
        <w:fldChar w:fldCharType="end"/>
      </w:r>
      <w:r w:rsidR="00F95EB6" w:rsidRPr="00E83B9C">
        <w:t>, </w:t>
      </w:r>
      <w:proofErr w:type="spellStart"/>
      <w:r>
        <w:fldChar w:fldCharType="begin"/>
      </w:r>
      <w:r>
        <w:instrText xml:space="preserve"> HYPERLINK "https://www.ncbi.nlm.nih.gov/pubmed/?term=Walder%20B%5BAuthor%5D&amp;cauthor=true&amp;cauthor_uid=29750696" </w:instrText>
      </w:r>
      <w:r>
        <w:fldChar w:fldCharType="separate"/>
      </w:r>
      <w:r w:rsidR="00F95EB6" w:rsidRPr="00E83B9C">
        <w:t>Walder</w:t>
      </w:r>
      <w:proofErr w:type="spellEnd"/>
      <w:r w:rsidR="00F95EB6" w:rsidRPr="00E83B9C">
        <w:t xml:space="preserve"> B</w:t>
      </w:r>
      <w:r>
        <w:fldChar w:fldCharType="end"/>
      </w:r>
      <w:r w:rsidR="00F95EB6" w:rsidRPr="00E83B9C">
        <w:t>, </w:t>
      </w:r>
      <w:proofErr w:type="spellStart"/>
      <w:r w:rsidR="00F95EB6" w:rsidRPr="00E83B9C">
        <w:fldChar w:fldCharType="begin"/>
      </w:r>
      <w:r w:rsidR="00F95EB6" w:rsidRPr="00E83B9C">
        <w:instrText xml:space="preserve"> HYPERLINK "https://www.ncbi.nlm.nih.gov/pubmed/?term=Tram%C3%A8r%20MR%5BAuthor%5D&amp;cauthor=true&amp;cauthor_uid=29750696" </w:instrText>
      </w:r>
      <w:r w:rsidR="00F95EB6" w:rsidRPr="00E83B9C">
        <w:fldChar w:fldCharType="separate"/>
      </w:r>
      <w:r w:rsidR="00F95EB6" w:rsidRPr="00E83B9C">
        <w:t>Tramèr</w:t>
      </w:r>
      <w:proofErr w:type="spellEnd"/>
      <w:r w:rsidR="00F95EB6" w:rsidRPr="00E83B9C">
        <w:t xml:space="preserve"> MR</w:t>
      </w:r>
      <w:r w:rsidR="00F95EB6" w:rsidRPr="00E83B9C">
        <w:fldChar w:fldCharType="end"/>
      </w:r>
      <w:r w:rsidR="00F95EB6" w:rsidRPr="00E83B9C">
        <w:t xml:space="preserve">. </w:t>
      </w:r>
      <w:proofErr w:type="gramStart"/>
      <w:r w:rsidR="00F95EB6" w:rsidRPr="00E83B9C">
        <w:t>Patient-Controlled Versus Clinician-Controlled Sedation With</w:t>
      </w:r>
      <w:proofErr w:type="gramEnd"/>
      <w:r w:rsidR="00F95EB6" w:rsidRPr="00E83B9C">
        <w:t xml:space="preserve"> Propofol: Systematic Review and Meta-analysis With Trial Sequential Analyses. </w:t>
      </w:r>
      <w:hyperlink r:id="rId53" w:tooltip="Anesthesia and analgesia." w:history="1">
        <w:proofErr w:type="spellStart"/>
        <w:r w:rsidR="00F95EB6" w:rsidRPr="00E83B9C">
          <w:t>Anesth</w:t>
        </w:r>
        <w:proofErr w:type="spellEnd"/>
        <w:r w:rsidR="00F95EB6" w:rsidRPr="00E83B9C">
          <w:t xml:space="preserve"> </w:t>
        </w:r>
        <w:proofErr w:type="spellStart"/>
        <w:r w:rsidR="00F95EB6" w:rsidRPr="00E83B9C">
          <w:t>Analg</w:t>
        </w:r>
        <w:proofErr w:type="spellEnd"/>
        <w:r w:rsidR="00F95EB6" w:rsidRPr="00E83B9C">
          <w:t>.</w:t>
        </w:r>
      </w:hyperlink>
      <w:r w:rsidR="00F95EB6" w:rsidRPr="00E83B9C">
        <w:t> 2018 May 9</w:t>
      </w:r>
      <w:proofErr w:type="gramStart"/>
      <w:r w:rsidR="00F95EB6" w:rsidRPr="00E83B9C">
        <w:t>..</w:t>
      </w:r>
      <w:proofErr w:type="gramEnd"/>
      <w:r w:rsidR="00F95EB6" w:rsidRPr="00E83B9C">
        <w:t xml:space="preserve"> [</w:t>
      </w:r>
      <w:proofErr w:type="spellStart"/>
      <w:r w:rsidR="00F95EB6" w:rsidRPr="00E83B9C">
        <w:t>Epub</w:t>
      </w:r>
      <w:proofErr w:type="spellEnd"/>
      <w:r w:rsidR="00F95EB6" w:rsidRPr="00E83B9C">
        <w:t xml:space="preserve"> ahead of print] </w:t>
      </w:r>
    </w:p>
    <w:p w14:paraId="609202E6" w14:textId="2E180953" w:rsidR="000D2EAF" w:rsidRPr="000D2EAF" w:rsidRDefault="000D2EAF" w:rsidP="000D2EAF">
      <w:pPr>
        <w:pStyle w:val="ListParagraph"/>
        <w:numPr>
          <w:ilvl w:val="0"/>
          <w:numId w:val="22"/>
        </w:numPr>
        <w:shd w:val="clear" w:color="auto" w:fill="FFFFFF"/>
        <w:autoSpaceDE w:val="0"/>
        <w:autoSpaceDN w:val="0"/>
        <w:adjustRightInd w:val="0"/>
        <w:spacing w:after="360" w:line="360" w:lineRule="auto"/>
        <w:rPr>
          <w:lang w:val="en"/>
        </w:rPr>
      </w:pPr>
      <w:r w:rsidRPr="000D2EAF">
        <w:t xml:space="preserve">Schulz KF, Altman D, Moher D and the CONSORT Group. CONSORT 2010 Statement: </w:t>
      </w:r>
      <w:r w:rsidR="00E3362E">
        <w:t>U</w:t>
      </w:r>
      <w:r w:rsidRPr="000D2EAF">
        <w:t xml:space="preserve">pdated </w:t>
      </w:r>
      <w:r w:rsidR="00E3362E">
        <w:t>G</w:t>
      </w:r>
      <w:r w:rsidRPr="000D2EAF">
        <w:t xml:space="preserve">uidelines for </w:t>
      </w:r>
      <w:r w:rsidR="00E3362E">
        <w:t>R</w:t>
      </w:r>
      <w:r w:rsidRPr="000D2EAF">
        <w:t xml:space="preserve">eporting </w:t>
      </w:r>
      <w:r w:rsidR="00E3362E">
        <w:t>P</w:t>
      </w:r>
      <w:r w:rsidRPr="000D2EAF">
        <w:t xml:space="preserve">arallel </w:t>
      </w:r>
      <w:r w:rsidR="00E3362E">
        <w:t>G</w:t>
      </w:r>
      <w:r w:rsidRPr="000D2EAF">
        <w:t xml:space="preserve">roup </w:t>
      </w:r>
      <w:r w:rsidR="00E3362E">
        <w:t>R</w:t>
      </w:r>
      <w:r w:rsidRPr="000D2EAF">
        <w:t xml:space="preserve">andomised </w:t>
      </w:r>
      <w:r w:rsidR="00E3362E">
        <w:t>T</w:t>
      </w:r>
      <w:r w:rsidRPr="000D2EAF">
        <w:t>rials</w:t>
      </w:r>
      <w:r>
        <w:t>. BMC Medicine. 2010 8:18</w:t>
      </w:r>
      <w:r w:rsidR="00E3362E">
        <w:t>.</w:t>
      </w:r>
    </w:p>
    <w:p w14:paraId="7C7091A3" w14:textId="76E1AE13" w:rsidR="00F95EB6" w:rsidRPr="00E83B9C" w:rsidRDefault="005A75F1" w:rsidP="00F95EB6">
      <w:pPr>
        <w:pStyle w:val="ListParagraph"/>
        <w:numPr>
          <w:ilvl w:val="0"/>
          <w:numId w:val="22"/>
        </w:numPr>
        <w:shd w:val="clear" w:color="auto" w:fill="FFFFFF"/>
        <w:autoSpaceDE w:val="0"/>
        <w:autoSpaceDN w:val="0"/>
        <w:adjustRightInd w:val="0"/>
        <w:spacing w:before="120" w:after="120" w:line="360" w:lineRule="auto"/>
      </w:pPr>
      <w:hyperlink r:id="rId54" w:history="1">
        <w:r w:rsidR="00F95EB6" w:rsidRPr="00E83B9C">
          <w:t>Myles PS</w:t>
        </w:r>
      </w:hyperlink>
      <w:r w:rsidR="00F95EB6" w:rsidRPr="00E83B9C">
        <w:t xml:space="preserve">. Measuring </w:t>
      </w:r>
      <w:r w:rsidR="00E3362E">
        <w:t>Q</w:t>
      </w:r>
      <w:r w:rsidR="00F95EB6" w:rsidRPr="00E83B9C">
        <w:t xml:space="preserve">uality of </w:t>
      </w:r>
      <w:r w:rsidR="00E3362E">
        <w:t>R</w:t>
      </w:r>
      <w:r w:rsidR="00F95EB6" w:rsidRPr="00E83B9C">
        <w:t xml:space="preserve">ecovery in </w:t>
      </w:r>
      <w:r w:rsidR="00E3362E">
        <w:t>P</w:t>
      </w:r>
      <w:r w:rsidR="00F95EB6" w:rsidRPr="00E83B9C">
        <w:t xml:space="preserve">erioperative </w:t>
      </w:r>
      <w:r w:rsidR="00E3362E">
        <w:t>C</w:t>
      </w:r>
      <w:r w:rsidR="00F95EB6" w:rsidRPr="00E83B9C">
        <w:t xml:space="preserve">linical </w:t>
      </w:r>
      <w:r w:rsidR="00E3362E">
        <w:t>T</w:t>
      </w:r>
      <w:r w:rsidR="00F95EB6" w:rsidRPr="00E83B9C">
        <w:t xml:space="preserve">rials. </w:t>
      </w:r>
      <w:hyperlink r:id="rId55" w:tooltip="Current opinion in anaesthesiology." w:history="1">
        <w:proofErr w:type="spellStart"/>
        <w:r w:rsidR="00F95EB6" w:rsidRPr="00E83B9C">
          <w:t>Curr</w:t>
        </w:r>
        <w:proofErr w:type="spellEnd"/>
        <w:r w:rsidR="00F95EB6" w:rsidRPr="00E83B9C">
          <w:t xml:space="preserve"> </w:t>
        </w:r>
        <w:proofErr w:type="spellStart"/>
        <w:r w:rsidR="00F95EB6" w:rsidRPr="00E83B9C">
          <w:t>Opin</w:t>
        </w:r>
        <w:proofErr w:type="spellEnd"/>
        <w:r w:rsidR="00F95EB6" w:rsidRPr="00E83B9C">
          <w:t xml:space="preserve"> </w:t>
        </w:r>
        <w:proofErr w:type="spellStart"/>
        <w:r w:rsidR="00F95EB6" w:rsidRPr="00E83B9C">
          <w:t>Anaesthesiol</w:t>
        </w:r>
        <w:proofErr w:type="spellEnd"/>
        <w:r w:rsidR="00F95EB6" w:rsidRPr="00E83B9C">
          <w:t>.</w:t>
        </w:r>
      </w:hyperlink>
      <w:r w:rsidR="00F95EB6" w:rsidRPr="00E83B9C">
        <w:t> 2018 Aug</w:t>
      </w:r>
      <w:proofErr w:type="gramStart"/>
      <w:r w:rsidR="00F95EB6" w:rsidRPr="00E83B9C">
        <w:t>;31</w:t>
      </w:r>
      <w:proofErr w:type="gramEnd"/>
      <w:r w:rsidR="00F95EB6" w:rsidRPr="00E83B9C">
        <w:t xml:space="preserve">(4):396-401. </w:t>
      </w:r>
    </w:p>
    <w:p w14:paraId="05900F1B" w14:textId="77777777" w:rsidR="00F95EB6" w:rsidRPr="00E83B9C" w:rsidRDefault="00F95EB6" w:rsidP="00F95EB6">
      <w:pPr>
        <w:pStyle w:val="EndNoteBibliography"/>
        <w:numPr>
          <w:ilvl w:val="0"/>
          <w:numId w:val="22"/>
        </w:numPr>
        <w:spacing w:after="0" w:line="360" w:lineRule="auto"/>
      </w:pPr>
      <w:r w:rsidRPr="00E83B9C">
        <w:t xml:space="preserve">Werburg, G.-j. VergeVR Inc.  [cited 2016 June 1s]; Available from: </w:t>
      </w:r>
      <w:hyperlink r:id="rId56" w:history="1">
        <w:r w:rsidRPr="00E83B9C">
          <w:t>http://www.vergevr.com/</w:t>
        </w:r>
      </w:hyperlink>
      <w:r w:rsidRPr="00E83B9C">
        <w:t>.</w:t>
      </w:r>
    </w:p>
    <w:p w14:paraId="02A04013" w14:textId="7DA7CAEC" w:rsidR="00F95EB6" w:rsidRPr="00E83B9C" w:rsidRDefault="005A75F1" w:rsidP="00F95EB6">
      <w:pPr>
        <w:pStyle w:val="EndNoteBibliography"/>
        <w:numPr>
          <w:ilvl w:val="0"/>
          <w:numId w:val="22"/>
        </w:numPr>
        <w:autoSpaceDE w:val="0"/>
        <w:autoSpaceDN w:val="0"/>
        <w:adjustRightInd w:val="0"/>
        <w:spacing w:after="0" w:line="360" w:lineRule="auto"/>
      </w:pPr>
      <w:hyperlink r:id="rId57" w:history="1">
        <w:r w:rsidR="00F95EB6" w:rsidRPr="00E83B9C">
          <w:t>Hoffman HG</w:t>
        </w:r>
      </w:hyperlink>
      <w:r w:rsidR="00F95EB6" w:rsidRPr="00E83B9C">
        <w:t>, </w:t>
      </w:r>
      <w:hyperlink r:id="rId58" w:history="1">
        <w:r w:rsidR="00F95EB6" w:rsidRPr="00E83B9C">
          <w:t>Chambers GT</w:t>
        </w:r>
      </w:hyperlink>
      <w:r w:rsidR="00F95EB6" w:rsidRPr="00E83B9C">
        <w:t>, </w:t>
      </w:r>
      <w:hyperlink r:id="rId59" w:history="1">
        <w:r w:rsidR="00F95EB6" w:rsidRPr="00E83B9C">
          <w:t>Meyer WJ 3rd</w:t>
        </w:r>
      </w:hyperlink>
      <w:r w:rsidR="00F95EB6" w:rsidRPr="00E83B9C">
        <w:t>, </w:t>
      </w:r>
      <w:hyperlink r:id="rId60" w:history="1">
        <w:r w:rsidR="00F95EB6" w:rsidRPr="00E83B9C">
          <w:t>Arceneaux LL</w:t>
        </w:r>
      </w:hyperlink>
      <w:r w:rsidR="00F95EB6" w:rsidRPr="00E83B9C">
        <w:t>, </w:t>
      </w:r>
      <w:hyperlink r:id="rId61" w:history="1">
        <w:r w:rsidR="00F95EB6" w:rsidRPr="00E83B9C">
          <w:t>Russell WJ</w:t>
        </w:r>
      </w:hyperlink>
      <w:r w:rsidR="00F95EB6" w:rsidRPr="00E83B9C">
        <w:t>, </w:t>
      </w:r>
      <w:hyperlink r:id="rId62" w:history="1">
        <w:r w:rsidR="00F95EB6" w:rsidRPr="00E83B9C">
          <w:t>Seibel EJ</w:t>
        </w:r>
      </w:hyperlink>
      <w:r w:rsidR="00F95EB6" w:rsidRPr="00E83B9C">
        <w:t>, </w:t>
      </w:r>
      <w:hyperlink r:id="rId63" w:history="1">
        <w:r w:rsidR="00F95EB6" w:rsidRPr="00E83B9C">
          <w:t>Richards TL</w:t>
        </w:r>
      </w:hyperlink>
      <w:r w:rsidR="00F95EB6" w:rsidRPr="00E83B9C">
        <w:t>, </w:t>
      </w:r>
      <w:hyperlink r:id="rId64" w:history="1">
        <w:r w:rsidR="00F95EB6" w:rsidRPr="00E83B9C">
          <w:t>Sharar SR</w:t>
        </w:r>
      </w:hyperlink>
      <w:r w:rsidR="00F95EB6" w:rsidRPr="00E83B9C">
        <w:t>, </w:t>
      </w:r>
      <w:hyperlink r:id="rId65" w:history="1">
        <w:r w:rsidR="00F95EB6" w:rsidRPr="00E83B9C">
          <w:t>Patterson DR</w:t>
        </w:r>
      </w:hyperlink>
      <w:r w:rsidR="00F95EB6" w:rsidRPr="00E83B9C">
        <w:t xml:space="preserve">. Virtual reality as an </w:t>
      </w:r>
      <w:r w:rsidR="00E3362E">
        <w:t>A</w:t>
      </w:r>
      <w:r w:rsidR="00F95EB6" w:rsidRPr="00E83B9C">
        <w:t xml:space="preserve">djunctive </w:t>
      </w:r>
      <w:r w:rsidR="00E3362E">
        <w:t>N</w:t>
      </w:r>
      <w:r w:rsidR="00F95EB6" w:rsidRPr="00E83B9C">
        <w:t>on-</w:t>
      </w:r>
      <w:r w:rsidR="00E3362E">
        <w:t>P</w:t>
      </w:r>
      <w:r w:rsidR="00F95EB6" w:rsidRPr="00E83B9C">
        <w:t xml:space="preserve">harmacologic </w:t>
      </w:r>
      <w:r w:rsidR="00E3362E">
        <w:t>A</w:t>
      </w:r>
      <w:r w:rsidR="00F95EB6" w:rsidRPr="00E83B9C">
        <w:t xml:space="preserve">nalgesic for </w:t>
      </w:r>
      <w:r w:rsidR="00E3362E">
        <w:t>A</w:t>
      </w:r>
      <w:r w:rsidR="00F95EB6" w:rsidRPr="00E83B9C">
        <w:t xml:space="preserve">cute </w:t>
      </w:r>
      <w:r w:rsidR="00E3362E">
        <w:t>B</w:t>
      </w:r>
      <w:r w:rsidR="00F95EB6" w:rsidRPr="00E83B9C">
        <w:t xml:space="preserve">urn </w:t>
      </w:r>
      <w:r w:rsidR="00E3362E">
        <w:t>P</w:t>
      </w:r>
      <w:r w:rsidR="00F95EB6" w:rsidRPr="00E83B9C">
        <w:t xml:space="preserve">ain </w:t>
      </w:r>
      <w:r w:rsidR="00E3362E">
        <w:t>D</w:t>
      </w:r>
      <w:r w:rsidR="00F95EB6" w:rsidRPr="00E83B9C">
        <w:t xml:space="preserve">uring </w:t>
      </w:r>
      <w:r w:rsidR="00E3362E">
        <w:t>M</w:t>
      </w:r>
      <w:r w:rsidR="00F95EB6" w:rsidRPr="00E83B9C">
        <w:t xml:space="preserve">edical </w:t>
      </w:r>
      <w:r w:rsidR="00E3362E">
        <w:t>P</w:t>
      </w:r>
      <w:r w:rsidR="00F95EB6" w:rsidRPr="00E83B9C">
        <w:t xml:space="preserve">rocedures. </w:t>
      </w:r>
      <w:hyperlink r:id="rId66" w:tooltip="Annals of behavioral medicine : a publication of the Society of Behavioral Medicine." w:history="1">
        <w:r w:rsidR="00F95EB6" w:rsidRPr="00E83B9C">
          <w:t>Ann Behav Med.</w:t>
        </w:r>
      </w:hyperlink>
      <w:r w:rsidR="00F95EB6" w:rsidRPr="00E83B9C">
        <w:t> 2011 Apr;41(2):183-91. </w:t>
      </w:r>
    </w:p>
    <w:p w14:paraId="58C6D465" w14:textId="1D6B829E" w:rsidR="00F95EB6" w:rsidRPr="00E83B9C" w:rsidRDefault="00F95EB6" w:rsidP="00F95EB6">
      <w:pPr>
        <w:pStyle w:val="EndNoteBibliography"/>
        <w:numPr>
          <w:ilvl w:val="0"/>
          <w:numId w:val="22"/>
        </w:numPr>
        <w:shd w:val="clear" w:color="auto" w:fill="FFFFFF"/>
        <w:autoSpaceDE w:val="0"/>
        <w:autoSpaceDN w:val="0"/>
        <w:adjustRightInd w:val="0"/>
        <w:spacing w:before="120" w:after="120" w:line="360" w:lineRule="auto"/>
      </w:pPr>
      <w:r w:rsidRPr="00E83B9C">
        <w:t xml:space="preserve">Das DA, Grimmer KA, Sparnon AL, McRae SE, Thomas BH. The </w:t>
      </w:r>
      <w:r w:rsidR="00E3362E">
        <w:t>E</w:t>
      </w:r>
      <w:r w:rsidRPr="00E83B9C">
        <w:t xml:space="preserve">fficacy of </w:t>
      </w:r>
      <w:r w:rsidR="00E3362E">
        <w:t>P</w:t>
      </w:r>
      <w:r w:rsidRPr="00E83B9C">
        <w:t xml:space="preserve">laying a </w:t>
      </w:r>
      <w:r w:rsidR="00E3362E">
        <w:t>V</w:t>
      </w:r>
      <w:r w:rsidRPr="00E83B9C">
        <w:t xml:space="preserve">irtual </w:t>
      </w:r>
      <w:r w:rsidR="00E3362E">
        <w:t>R</w:t>
      </w:r>
      <w:r w:rsidRPr="00E83B9C">
        <w:t xml:space="preserve">eality </w:t>
      </w:r>
      <w:r w:rsidR="00E3362E">
        <w:t>G</w:t>
      </w:r>
      <w:r w:rsidRPr="00E83B9C">
        <w:t xml:space="preserve">ame in </w:t>
      </w:r>
      <w:r w:rsidR="00E3362E">
        <w:t>M</w:t>
      </w:r>
      <w:r w:rsidRPr="00E83B9C">
        <w:t xml:space="preserve">odulating </w:t>
      </w:r>
      <w:r w:rsidR="00E3362E">
        <w:t>P</w:t>
      </w:r>
      <w:r w:rsidRPr="00E83B9C">
        <w:t xml:space="preserve">ain for </w:t>
      </w:r>
      <w:r w:rsidR="00E3362E">
        <w:t>C</w:t>
      </w:r>
      <w:r w:rsidRPr="00E83B9C">
        <w:t xml:space="preserve">hildren with </w:t>
      </w:r>
      <w:r w:rsidR="00E3362E">
        <w:t>A</w:t>
      </w:r>
      <w:r w:rsidRPr="00E83B9C">
        <w:t xml:space="preserve">cute </w:t>
      </w:r>
      <w:r w:rsidR="00E3362E">
        <w:t>B</w:t>
      </w:r>
      <w:r w:rsidRPr="00E83B9C">
        <w:t xml:space="preserve">urn </w:t>
      </w:r>
      <w:r w:rsidR="00E3362E">
        <w:t>I</w:t>
      </w:r>
      <w:r w:rsidRPr="00E83B9C">
        <w:t xml:space="preserve">njuries: </w:t>
      </w:r>
      <w:r w:rsidR="00E3362E">
        <w:t>A</w:t>
      </w:r>
      <w:r w:rsidRPr="00E83B9C">
        <w:t xml:space="preserve"> </w:t>
      </w:r>
      <w:r w:rsidR="00E3362E">
        <w:t>R</w:t>
      </w:r>
      <w:r w:rsidRPr="00E83B9C">
        <w:t xml:space="preserve">andomized </w:t>
      </w:r>
      <w:r w:rsidR="00E3362E">
        <w:t>C</w:t>
      </w:r>
      <w:r w:rsidRPr="00E83B9C">
        <w:t>ontrolled</w:t>
      </w:r>
      <w:r w:rsidR="00E3362E">
        <w:t xml:space="preserve"> T</w:t>
      </w:r>
      <w:r w:rsidRPr="00E83B9C">
        <w:t>rial. BMC Pediatr. 2005;5:1.</w:t>
      </w:r>
    </w:p>
    <w:p w14:paraId="5ECF0913" w14:textId="1AC533C5" w:rsidR="00F95EB6" w:rsidRPr="00E83B9C" w:rsidRDefault="005A75F1" w:rsidP="00F95EB6">
      <w:pPr>
        <w:pStyle w:val="EndNoteBibliography"/>
        <w:numPr>
          <w:ilvl w:val="0"/>
          <w:numId w:val="22"/>
        </w:numPr>
        <w:shd w:val="clear" w:color="auto" w:fill="FFFFFF"/>
        <w:autoSpaceDE w:val="0"/>
        <w:autoSpaceDN w:val="0"/>
        <w:adjustRightInd w:val="0"/>
        <w:spacing w:before="120" w:after="120" w:line="360" w:lineRule="auto"/>
      </w:pPr>
      <w:hyperlink r:id="rId67" w:history="1">
        <w:r w:rsidR="00F95EB6" w:rsidRPr="00E83B9C">
          <w:t>Patanwala AE</w:t>
        </w:r>
      </w:hyperlink>
      <w:r w:rsidR="00F95EB6" w:rsidRPr="00E83B9C">
        <w:t>, </w:t>
      </w:r>
      <w:hyperlink r:id="rId68" w:history="1">
        <w:r w:rsidR="00F95EB6" w:rsidRPr="00E83B9C">
          <w:t>Christich AC</w:t>
        </w:r>
      </w:hyperlink>
      <w:r w:rsidR="00F95EB6" w:rsidRPr="00E83B9C">
        <w:t>, </w:t>
      </w:r>
      <w:hyperlink r:id="rId69" w:history="1">
        <w:r w:rsidR="00F95EB6" w:rsidRPr="00E83B9C">
          <w:t>Jasiak KD</w:t>
        </w:r>
      </w:hyperlink>
      <w:r w:rsidR="00F95EB6" w:rsidRPr="00E83B9C">
        <w:t>, </w:t>
      </w:r>
      <w:hyperlink r:id="rId70" w:history="1">
        <w:r w:rsidR="00F95EB6" w:rsidRPr="00E83B9C">
          <w:t>Edwards CJ</w:t>
        </w:r>
      </w:hyperlink>
      <w:r w:rsidR="00F95EB6" w:rsidRPr="00E83B9C">
        <w:t>, </w:t>
      </w:r>
      <w:hyperlink r:id="rId71" w:history="1">
        <w:r w:rsidR="00F95EB6" w:rsidRPr="00E83B9C">
          <w:t>Phan H</w:t>
        </w:r>
      </w:hyperlink>
      <w:r w:rsidR="00F95EB6" w:rsidRPr="00E83B9C">
        <w:t>, </w:t>
      </w:r>
      <w:hyperlink r:id="rId72" w:history="1">
        <w:r w:rsidR="00F95EB6" w:rsidRPr="00E83B9C">
          <w:t>Snyder EM</w:t>
        </w:r>
      </w:hyperlink>
      <w:r w:rsidR="00F95EB6" w:rsidRPr="00E83B9C">
        <w:t>. Age-</w:t>
      </w:r>
      <w:r w:rsidR="00E3362E">
        <w:t>R</w:t>
      </w:r>
      <w:r w:rsidR="00F95EB6" w:rsidRPr="00E83B9C">
        <w:t>elated </w:t>
      </w:r>
      <w:r w:rsidR="00E3362E">
        <w:t>D</w:t>
      </w:r>
      <w:r w:rsidR="00F95EB6" w:rsidRPr="00E83B9C">
        <w:t>ifferences in </w:t>
      </w:r>
      <w:r w:rsidR="00E3362E">
        <w:t>P</w:t>
      </w:r>
      <w:r w:rsidR="00F95EB6" w:rsidRPr="00E83B9C">
        <w:t>ropofol </w:t>
      </w:r>
      <w:r w:rsidR="00E3362E">
        <w:t>D</w:t>
      </w:r>
      <w:r w:rsidR="00F95EB6" w:rsidRPr="00E83B9C">
        <w:t xml:space="preserve">osing for </w:t>
      </w:r>
      <w:r w:rsidR="00E3362E">
        <w:t>P</w:t>
      </w:r>
      <w:r w:rsidR="00F95EB6" w:rsidRPr="00E83B9C">
        <w:t xml:space="preserve">rocedural </w:t>
      </w:r>
      <w:r w:rsidR="00E3362E">
        <w:t>S</w:t>
      </w:r>
      <w:r w:rsidR="00F95EB6" w:rsidRPr="00E83B9C">
        <w:t xml:space="preserve">edation in the Emergency Department. </w:t>
      </w:r>
      <w:hyperlink r:id="rId73" w:tooltip="The Journal of emergency medicine." w:history="1">
        <w:r w:rsidR="00F95EB6" w:rsidRPr="00E83B9C">
          <w:t>J Emerg Med.</w:t>
        </w:r>
      </w:hyperlink>
      <w:r w:rsidR="00F95EB6" w:rsidRPr="00E83B9C">
        <w:t> 2013 Apr;44(4):823-8. </w:t>
      </w:r>
    </w:p>
    <w:p w14:paraId="479BFB56" w14:textId="77777777" w:rsidR="00F95EB6" w:rsidRPr="00E83B9C" w:rsidRDefault="00F95EB6" w:rsidP="00F95EB6">
      <w:pPr>
        <w:spacing w:line="360" w:lineRule="auto"/>
      </w:pPr>
    </w:p>
    <w:p w14:paraId="3FC922F8" w14:textId="27661FFF" w:rsidR="007C5BB2" w:rsidRPr="00A81743" w:rsidRDefault="007C5BB2" w:rsidP="00F23E7B">
      <w:pPr>
        <w:pStyle w:val="NoSpacing"/>
        <w:spacing w:line="360" w:lineRule="auto"/>
        <w:rPr>
          <w:rFonts w:cstheme="minorHAnsi"/>
        </w:rPr>
      </w:pPr>
    </w:p>
    <w:p w14:paraId="224F5535" w14:textId="77777777" w:rsidR="00335A58" w:rsidRPr="00A81743" w:rsidRDefault="00335A58" w:rsidP="00F23E7B">
      <w:pPr>
        <w:spacing w:line="360" w:lineRule="auto"/>
        <w:rPr>
          <w:rFonts w:cstheme="minorHAnsi"/>
          <w:b/>
        </w:rPr>
      </w:pPr>
      <w:r w:rsidRPr="00A81743">
        <w:rPr>
          <w:rFonts w:cstheme="minorHAnsi"/>
          <w:b/>
        </w:rPr>
        <w:br w:type="page"/>
      </w:r>
    </w:p>
    <w:p w14:paraId="58848A99" w14:textId="77777777" w:rsidR="00A715CA" w:rsidRPr="00A81743" w:rsidRDefault="007C5BB2" w:rsidP="00F23E7B">
      <w:pPr>
        <w:pStyle w:val="NoSpacing"/>
        <w:spacing w:line="360" w:lineRule="auto"/>
        <w:rPr>
          <w:rFonts w:cstheme="minorHAnsi"/>
          <w:b/>
        </w:rPr>
      </w:pPr>
      <w:r w:rsidRPr="00A81743">
        <w:rPr>
          <w:rFonts w:cstheme="minorHAnsi"/>
          <w:b/>
        </w:rPr>
        <w:lastRenderedPageBreak/>
        <w:t>Figure 1: Patient recruitment, allocation and analysis</w:t>
      </w:r>
    </w:p>
    <w:p w14:paraId="6FC60032" w14:textId="77777777" w:rsidR="007C5BB2" w:rsidRPr="00A81743" w:rsidRDefault="007C5BB2" w:rsidP="00F23E7B">
      <w:pPr>
        <w:pStyle w:val="NoSpacing"/>
        <w:spacing w:line="360" w:lineRule="auto"/>
        <w:rPr>
          <w:rFonts w:cstheme="minorHAnsi"/>
        </w:rPr>
      </w:pPr>
    </w:p>
    <w:p w14:paraId="3FCA422E" w14:textId="77777777" w:rsidR="00DA0939" w:rsidRDefault="00DA0939" w:rsidP="00F23E7B">
      <w:pPr>
        <w:spacing w:line="360" w:lineRule="auto"/>
        <w:rPr>
          <w:rFonts w:cstheme="minorHAnsi"/>
          <w:b/>
        </w:rPr>
      </w:pPr>
    </w:p>
    <w:p w14:paraId="7834635A" w14:textId="4067938E" w:rsidR="00DA0939" w:rsidRDefault="00DA0939" w:rsidP="00F23E7B">
      <w:pPr>
        <w:spacing w:line="360" w:lineRule="auto"/>
        <w:rPr>
          <w:rFonts w:cstheme="minorHAnsi"/>
          <w:b/>
        </w:rPr>
      </w:pPr>
      <w:r w:rsidRPr="00DA0939">
        <w:rPr>
          <w:rFonts w:cstheme="minorHAnsi"/>
          <w:b/>
          <w:noProof/>
          <w:lang w:eastAsia="en-AU"/>
        </w:rPr>
        <w:drawing>
          <wp:inline distT="0" distB="0" distL="0" distR="0" wp14:anchorId="60949563" wp14:editId="6079E81B">
            <wp:extent cx="6348412" cy="566680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4"/>
                    <a:srcRect t="1081"/>
                    <a:stretch/>
                  </pic:blipFill>
                  <pic:spPr bwMode="auto">
                    <a:xfrm>
                      <a:off x="0" y="0"/>
                      <a:ext cx="6348412" cy="5666807"/>
                    </a:xfrm>
                    <a:prstGeom prst="rect">
                      <a:avLst/>
                    </a:prstGeom>
                    <a:ln>
                      <a:noFill/>
                    </a:ln>
                    <a:extLst>
                      <a:ext uri="{53640926-AAD7-44D8-BBD7-CCE9431645EC}">
                        <a14:shadowObscured xmlns:a14="http://schemas.microsoft.com/office/drawing/2010/main"/>
                      </a:ext>
                    </a:extLst>
                  </pic:spPr>
                </pic:pic>
              </a:graphicData>
            </a:graphic>
          </wp:inline>
        </w:drawing>
      </w:r>
    </w:p>
    <w:p w14:paraId="32D3C59D" w14:textId="77777777" w:rsidR="00DA0939" w:rsidRDefault="00DA0939" w:rsidP="00F23E7B">
      <w:pPr>
        <w:spacing w:line="360" w:lineRule="auto"/>
        <w:rPr>
          <w:rFonts w:cstheme="minorHAnsi"/>
          <w:b/>
        </w:rPr>
      </w:pPr>
      <w:r>
        <w:rPr>
          <w:rFonts w:cstheme="minorHAnsi"/>
          <w:b/>
        </w:rPr>
        <w:br w:type="page"/>
      </w:r>
    </w:p>
    <w:p w14:paraId="5D26CD2A" w14:textId="2F3F84BB" w:rsidR="00DA0939" w:rsidRDefault="00DA0939" w:rsidP="00F23E7B">
      <w:pPr>
        <w:spacing w:line="360" w:lineRule="auto"/>
        <w:rPr>
          <w:rFonts w:cstheme="minorHAnsi"/>
          <w:b/>
        </w:rPr>
      </w:pPr>
      <w:r>
        <w:rPr>
          <w:rFonts w:cstheme="minorHAnsi"/>
          <w:b/>
        </w:rPr>
        <w:lastRenderedPageBreak/>
        <w:t>Figure 2: Mean Propofol use and distribution over time</w:t>
      </w:r>
    </w:p>
    <w:p w14:paraId="48C7C307" w14:textId="7B116324" w:rsidR="00DA0939" w:rsidRDefault="00DA0939" w:rsidP="00F23E7B">
      <w:pPr>
        <w:spacing w:line="360" w:lineRule="auto"/>
        <w:rPr>
          <w:rFonts w:cstheme="minorHAnsi"/>
          <w:b/>
        </w:rPr>
      </w:pPr>
      <w:r w:rsidRPr="00DA0939">
        <w:rPr>
          <w:rFonts w:cstheme="minorHAnsi"/>
          <w:b/>
          <w:noProof/>
          <w:lang w:eastAsia="en-AU"/>
        </w:rPr>
        <w:drawing>
          <wp:inline distT="0" distB="0" distL="0" distR="0" wp14:anchorId="651543DA" wp14:editId="259BA693">
            <wp:extent cx="6472238" cy="5300662"/>
            <wp:effectExtent l="0" t="0" r="508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5"/>
                    <a:srcRect l="7216" t="8309" r="15569" b="7836"/>
                    <a:stretch/>
                  </pic:blipFill>
                  <pic:spPr bwMode="auto">
                    <a:xfrm>
                      <a:off x="0" y="0"/>
                      <a:ext cx="6472238" cy="5300662"/>
                    </a:xfrm>
                    <a:prstGeom prst="rect">
                      <a:avLst/>
                    </a:prstGeom>
                    <a:ln>
                      <a:noFill/>
                    </a:ln>
                    <a:extLst>
                      <a:ext uri="{53640926-AAD7-44D8-BBD7-CCE9431645EC}">
                        <a14:shadowObscured xmlns:a14="http://schemas.microsoft.com/office/drawing/2010/main"/>
                      </a:ext>
                    </a:extLst>
                  </pic:spPr>
                </pic:pic>
              </a:graphicData>
            </a:graphic>
          </wp:inline>
        </w:drawing>
      </w:r>
      <w:r>
        <w:rPr>
          <w:rFonts w:cstheme="minorHAnsi"/>
          <w:b/>
        </w:rPr>
        <w:br w:type="page"/>
      </w:r>
    </w:p>
    <w:p w14:paraId="19704CD9" w14:textId="6E082030" w:rsidR="007C5BB2" w:rsidRPr="00A81743" w:rsidRDefault="007C5BB2" w:rsidP="00F23E7B">
      <w:pPr>
        <w:pStyle w:val="NoSpacing"/>
        <w:spacing w:line="360" w:lineRule="auto"/>
        <w:rPr>
          <w:rFonts w:cstheme="minorHAnsi"/>
          <w:b/>
        </w:rPr>
      </w:pPr>
      <w:r w:rsidRPr="00A81743">
        <w:rPr>
          <w:rFonts w:cstheme="minorHAnsi"/>
          <w:b/>
        </w:rPr>
        <w:lastRenderedPageBreak/>
        <w:t xml:space="preserve">Table 1: Summary of demographic data from control and </w:t>
      </w:r>
      <w:r w:rsidR="00812727" w:rsidRPr="00A81743">
        <w:rPr>
          <w:rFonts w:cstheme="minorHAnsi"/>
          <w:b/>
        </w:rPr>
        <w:t>I</w:t>
      </w:r>
      <w:r w:rsidRPr="00A81743">
        <w:rPr>
          <w:rFonts w:cstheme="minorHAnsi"/>
          <w:b/>
        </w:rPr>
        <w:t>VR groups</w:t>
      </w:r>
    </w:p>
    <w:p w14:paraId="0440D031" w14:textId="77777777" w:rsidR="007C5BB2" w:rsidRPr="00A81743" w:rsidRDefault="007C5BB2" w:rsidP="00F23E7B">
      <w:pPr>
        <w:pStyle w:val="NoSpacing"/>
        <w:spacing w:line="360" w:lineRule="auto"/>
        <w:rPr>
          <w:rFonts w:cstheme="minorHAnsi"/>
        </w:rPr>
      </w:pPr>
    </w:p>
    <w:tbl>
      <w:tblPr>
        <w:tblStyle w:val="TableGrid"/>
        <w:tblW w:w="9887" w:type="dxa"/>
        <w:tblCellMar>
          <w:top w:w="28" w:type="dxa"/>
          <w:bottom w:w="28" w:type="dxa"/>
        </w:tblCellMar>
        <w:tblLook w:val="04A0" w:firstRow="1" w:lastRow="0" w:firstColumn="1" w:lastColumn="0" w:noHBand="0" w:noVBand="1"/>
      </w:tblPr>
      <w:tblGrid>
        <w:gridCol w:w="3435"/>
        <w:gridCol w:w="3226"/>
        <w:gridCol w:w="3226"/>
      </w:tblGrid>
      <w:tr w:rsidR="00C40F3D" w:rsidRPr="00A81743" w14:paraId="15F68371" w14:textId="77777777" w:rsidTr="0034457E">
        <w:trPr>
          <w:trHeight w:val="228"/>
        </w:trPr>
        <w:tc>
          <w:tcPr>
            <w:tcW w:w="3435" w:type="dxa"/>
          </w:tcPr>
          <w:p w14:paraId="4FF114A8" w14:textId="77777777" w:rsidR="00C40F3D" w:rsidRPr="00A81743" w:rsidRDefault="00C40F3D" w:rsidP="00F23E7B">
            <w:pPr>
              <w:pStyle w:val="NoSpacing"/>
              <w:spacing w:line="360" w:lineRule="auto"/>
              <w:rPr>
                <w:rFonts w:cstheme="minorHAnsi"/>
                <w:b/>
              </w:rPr>
            </w:pPr>
          </w:p>
        </w:tc>
        <w:tc>
          <w:tcPr>
            <w:tcW w:w="3226" w:type="dxa"/>
          </w:tcPr>
          <w:p w14:paraId="6EB26086" w14:textId="77777777" w:rsidR="00C40F3D" w:rsidRPr="00A81743" w:rsidRDefault="00C40F3D" w:rsidP="00F23E7B">
            <w:pPr>
              <w:pStyle w:val="NoSpacing"/>
              <w:spacing w:line="360" w:lineRule="auto"/>
              <w:rPr>
                <w:rFonts w:cstheme="minorHAnsi"/>
                <w:b/>
              </w:rPr>
            </w:pPr>
            <w:r w:rsidRPr="00A81743">
              <w:rPr>
                <w:rFonts w:cstheme="minorHAnsi"/>
                <w:b/>
              </w:rPr>
              <w:t>Control</w:t>
            </w:r>
          </w:p>
        </w:tc>
        <w:tc>
          <w:tcPr>
            <w:tcW w:w="3226" w:type="dxa"/>
          </w:tcPr>
          <w:p w14:paraId="4C2DD94F" w14:textId="0A54848D" w:rsidR="00C40F3D" w:rsidRPr="00A81743" w:rsidRDefault="00D53931" w:rsidP="00F23E7B">
            <w:pPr>
              <w:pStyle w:val="NoSpacing"/>
              <w:spacing w:line="360" w:lineRule="auto"/>
              <w:rPr>
                <w:rFonts w:cstheme="minorHAnsi"/>
                <w:b/>
              </w:rPr>
            </w:pPr>
            <w:r>
              <w:rPr>
                <w:rFonts w:cstheme="minorHAnsi"/>
                <w:b/>
              </w:rPr>
              <w:t>I</w:t>
            </w:r>
            <w:r w:rsidR="00C40F3D" w:rsidRPr="00A81743">
              <w:rPr>
                <w:rFonts w:cstheme="minorHAnsi"/>
                <w:b/>
              </w:rPr>
              <w:t>VR</w:t>
            </w:r>
          </w:p>
        </w:tc>
      </w:tr>
      <w:tr w:rsidR="00C40F3D" w:rsidRPr="00A81743" w14:paraId="6AFA4C07" w14:textId="77777777" w:rsidTr="0034457E">
        <w:trPr>
          <w:trHeight w:val="228"/>
        </w:trPr>
        <w:tc>
          <w:tcPr>
            <w:tcW w:w="3435" w:type="dxa"/>
          </w:tcPr>
          <w:p w14:paraId="2D1D546D" w14:textId="77777777" w:rsidR="00C40F3D" w:rsidRPr="00A81743" w:rsidRDefault="00C40F3D" w:rsidP="00F23E7B">
            <w:pPr>
              <w:pStyle w:val="NoSpacing"/>
              <w:spacing w:line="360" w:lineRule="auto"/>
              <w:rPr>
                <w:rFonts w:cstheme="minorHAnsi"/>
                <w:b/>
              </w:rPr>
            </w:pPr>
            <w:r w:rsidRPr="00A81743">
              <w:rPr>
                <w:rFonts w:cstheme="minorHAnsi"/>
                <w:b/>
              </w:rPr>
              <w:t>Gender</w:t>
            </w:r>
          </w:p>
        </w:tc>
        <w:tc>
          <w:tcPr>
            <w:tcW w:w="3226" w:type="dxa"/>
          </w:tcPr>
          <w:p w14:paraId="593CB349" w14:textId="614E0307" w:rsidR="00C40F3D" w:rsidRPr="00A81743" w:rsidRDefault="00C54CF3" w:rsidP="00F23E7B">
            <w:pPr>
              <w:pStyle w:val="NoSpacing"/>
              <w:spacing w:line="360" w:lineRule="auto"/>
              <w:rPr>
                <w:rFonts w:cstheme="minorHAnsi"/>
              </w:rPr>
            </w:pPr>
            <w:r>
              <w:rPr>
                <w:rFonts w:cstheme="minorHAnsi"/>
              </w:rPr>
              <w:t>n</w:t>
            </w:r>
            <w:r w:rsidR="00C40F3D" w:rsidRPr="00A81743">
              <w:rPr>
                <w:rFonts w:cstheme="minorHAnsi"/>
              </w:rPr>
              <w:t xml:space="preserve"> (percent)</w:t>
            </w:r>
          </w:p>
        </w:tc>
        <w:tc>
          <w:tcPr>
            <w:tcW w:w="3226" w:type="dxa"/>
          </w:tcPr>
          <w:p w14:paraId="08B6E19F" w14:textId="3F3896EE" w:rsidR="00C40F3D" w:rsidRPr="00A81743" w:rsidRDefault="00C54CF3" w:rsidP="00F23E7B">
            <w:pPr>
              <w:pStyle w:val="NoSpacing"/>
              <w:spacing w:line="360" w:lineRule="auto"/>
              <w:rPr>
                <w:rFonts w:cstheme="minorHAnsi"/>
              </w:rPr>
            </w:pPr>
            <w:r>
              <w:rPr>
                <w:rFonts w:cstheme="minorHAnsi"/>
              </w:rPr>
              <w:t>n</w:t>
            </w:r>
            <w:r w:rsidR="00C40F3D" w:rsidRPr="00A81743">
              <w:rPr>
                <w:rFonts w:cstheme="minorHAnsi"/>
              </w:rPr>
              <w:t xml:space="preserve"> (percent)</w:t>
            </w:r>
          </w:p>
        </w:tc>
      </w:tr>
      <w:tr w:rsidR="00C40F3D" w:rsidRPr="00A81743" w14:paraId="37920DE0" w14:textId="77777777" w:rsidTr="0034457E">
        <w:trPr>
          <w:trHeight w:val="228"/>
        </w:trPr>
        <w:tc>
          <w:tcPr>
            <w:tcW w:w="3435" w:type="dxa"/>
          </w:tcPr>
          <w:p w14:paraId="1F439C62" w14:textId="77777777" w:rsidR="00C40F3D" w:rsidRPr="00A81743" w:rsidRDefault="00C40F3D" w:rsidP="00F23E7B">
            <w:pPr>
              <w:pStyle w:val="NoSpacing"/>
              <w:spacing w:line="360" w:lineRule="auto"/>
              <w:rPr>
                <w:rFonts w:cstheme="minorHAnsi"/>
              </w:rPr>
            </w:pPr>
            <w:r w:rsidRPr="00A81743">
              <w:rPr>
                <w:rFonts w:cstheme="minorHAnsi"/>
              </w:rPr>
              <w:t xml:space="preserve">    Female</w:t>
            </w:r>
          </w:p>
        </w:tc>
        <w:tc>
          <w:tcPr>
            <w:tcW w:w="3226" w:type="dxa"/>
          </w:tcPr>
          <w:p w14:paraId="7FD32E65" w14:textId="77777777" w:rsidR="00C40F3D" w:rsidRPr="00A81743" w:rsidRDefault="00C40F3D" w:rsidP="00F23E7B">
            <w:pPr>
              <w:pStyle w:val="NoSpacing"/>
              <w:spacing w:line="360" w:lineRule="auto"/>
              <w:rPr>
                <w:rFonts w:cstheme="minorHAnsi"/>
              </w:rPr>
            </w:pPr>
            <w:r w:rsidRPr="00A81743">
              <w:rPr>
                <w:rFonts w:cstheme="minorHAnsi"/>
              </w:rPr>
              <w:t>12 (48)</w:t>
            </w:r>
          </w:p>
        </w:tc>
        <w:tc>
          <w:tcPr>
            <w:tcW w:w="3226" w:type="dxa"/>
          </w:tcPr>
          <w:p w14:paraId="63A7CDE1" w14:textId="77777777" w:rsidR="00C40F3D" w:rsidRPr="00A81743" w:rsidRDefault="00C40F3D" w:rsidP="00F23E7B">
            <w:pPr>
              <w:pStyle w:val="NoSpacing"/>
              <w:spacing w:line="360" w:lineRule="auto"/>
              <w:rPr>
                <w:rFonts w:cstheme="minorHAnsi"/>
              </w:rPr>
            </w:pPr>
            <w:r w:rsidRPr="00A81743">
              <w:rPr>
                <w:rFonts w:cstheme="minorHAnsi"/>
              </w:rPr>
              <w:t>13 (52)</w:t>
            </w:r>
          </w:p>
        </w:tc>
      </w:tr>
      <w:tr w:rsidR="00C40F3D" w:rsidRPr="00A81743" w14:paraId="60F861A1" w14:textId="77777777" w:rsidTr="0034457E">
        <w:trPr>
          <w:trHeight w:val="228"/>
        </w:trPr>
        <w:tc>
          <w:tcPr>
            <w:tcW w:w="3435" w:type="dxa"/>
          </w:tcPr>
          <w:p w14:paraId="792B1BBE" w14:textId="77777777" w:rsidR="00C40F3D" w:rsidRPr="00A81743" w:rsidRDefault="00C40F3D" w:rsidP="00F23E7B">
            <w:pPr>
              <w:pStyle w:val="NoSpacing"/>
              <w:spacing w:line="360" w:lineRule="auto"/>
              <w:rPr>
                <w:rFonts w:cstheme="minorHAnsi"/>
              </w:rPr>
            </w:pPr>
            <w:r w:rsidRPr="00A81743">
              <w:rPr>
                <w:rFonts w:cstheme="minorHAnsi"/>
              </w:rPr>
              <w:t xml:space="preserve">    Male</w:t>
            </w:r>
          </w:p>
        </w:tc>
        <w:tc>
          <w:tcPr>
            <w:tcW w:w="3226" w:type="dxa"/>
          </w:tcPr>
          <w:p w14:paraId="05D45245" w14:textId="77777777" w:rsidR="00C40F3D" w:rsidRPr="00A81743" w:rsidRDefault="00C40F3D" w:rsidP="00F23E7B">
            <w:pPr>
              <w:pStyle w:val="NoSpacing"/>
              <w:spacing w:line="360" w:lineRule="auto"/>
              <w:rPr>
                <w:rFonts w:cstheme="minorHAnsi"/>
              </w:rPr>
            </w:pPr>
            <w:r w:rsidRPr="00A81743">
              <w:rPr>
                <w:rFonts w:cstheme="minorHAnsi"/>
              </w:rPr>
              <w:t>13 (52)</w:t>
            </w:r>
          </w:p>
        </w:tc>
        <w:tc>
          <w:tcPr>
            <w:tcW w:w="3226" w:type="dxa"/>
          </w:tcPr>
          <w:p w14:paraId="3D64D97D" w14:textId="77777777" w:rsidR="00C40F3D" w:rsidRPr="00A81743" w:rsidRDefault="00C40F3D" w:rsidP="00F23E7B">
            <w:pPr>
              <w:pStyle w:val="NoSpacing"/>
              <w:spacing w:line="360" w:lineRule="auto"/>
              <w:rPr>
                <w:rFonts w:cstheme="minorHAnsi"/>
              </w:rPr>
            </w:pPr>
            <w:r w:rsidRPr="00A81743">
              <w:rPr>
                <w:rFonts w:cstheme="minorHAnsi"/>
              </w:rPr>
              <w:t>12 (48)</w:t>
            </w:r>
          </w:p>
        </w:tc>
      </w:tr>
      <w:tr w:rsidR="00C40F3D" w:rsidRPr="00A81743" w14:paraId="2BA20D84" w14:textId="77777777" w:rsidTr="0034457E">
        <w:trPr>
          <w:trHeight w:val="228"/>
        </w:trPr>
        <w:tc>
          <w:tcPr>
            <w:tcW w:w="3435" w:type="dxa"/>
          </w:tcPr>
          <w:p w14:paraId="33C659CC" w14:textId="77777777" w:rsidR="00C40F3D" w:rsidRPr="00A81743" w:rsidRDefault="00C40F3D" w:rsidP="00F23E7B">
            <w:pPr>
              <w:pStyle w:val="NoSpacing"/>
              <w:spacing w:line="360" w:lineRule="auto"/>
              <w:rPr>
                <w:rFonts w:cstheme="minorHAnsi"/>
              </w:rPr>
            </w:pPr>
            <w:r w:rsidRPr="00A81743">
              <w:rPr>
                <w:rFonts w:cstheme="minorHAnsi"/>
                <w:b/>
              </w:rPr>
              <w:t>Median Age (y)</w:t>
            </w:r>
          </w:p>
        </w:tc>
        <w:tc>
          <w:tcPr>
            <w:tcW w:w="3226" w:type="dxa"/>
          </w:tcPr>
          <w:p w14:paraId="5B6FA7B2" w14:textId="77777777" w:rsidR="00C40F3D" w:rsidRPr="00A81743" w:rsidRDefault="00C40F3D" w:rsidP="00F23E7B">
            <w:pPr>
              <w:pStyle w:val="NoSpacing"/>
              <w:spacing w:line="360" w:lineRule="auto"/>
              <w:rPr>
                <w:rFonts w:cstheme="minorHAnsi"/>
              </w:rPr>
            </w:pPr>
            <w:r w:rsidRPr="00A81743">
              <w:rPr>
                <w:rFonts w:cstheme="minorHAnsi"/>
              </w:rPr>
              <w:t>70</w:t>
            </w:r>
          </w:p>
        </w:tc>
        <w:tc>
          <w:tcPr>
            <w:tcW w:w="3226" w:type="dxa"/>
          </w:tcPr>
          <w:p w14:paraId="65814788" w14:textId="77777777" w:rsidR="00C40F3D" w:rsidRPr="00A81743" w:rsidRDefault="00C40F3D" w:rsidP="00F23E7B">
            <w:pPr>
              <w:pStyle w:val="NoSpacing"/>
              <w:spacing w:line="360" w:lineRule="auto"/>
              <w:rPr>
                <w:rFonts w:cstheme="minorHAnsi"/>
              </w:rPr>
            </w:pPr>
            <w:r w:rsidRPr="00A81743">
              <w:rPr>
                <w:rFonts w:cstheme="minorHAnsi"/>
              </w:rPr>
              <w:t>65</w:t>
            </w:r>
          </w:p>
        </w:tc>
      </w:tr>
      <w:tr w:rsidR="00C40F3D" w:rsidRPr="00A81743" w14:paraId="427072ED" w14:textId="77777777" w:rsidTr="0034457E">
        <w:trPr>
          <w:trHeight w:val="228"/>
        </w:trPr>
        <w:tc>
          <w:tcPr>
            <w:tcW w:w="3435" w:type="dxa"/>
          </w:tcPr>
          <w:p w14:paraId="02ED4405" w14:textId="77777777" w:rsidR="00C40F3D" w:rsidRPr="00A81743" w:rsidRDefault="00C40F3D" w:rsidP="00F23E7B">
            <w:pPr>
              <w:pStyle w:val="NoSpacing"/>
              <w:spacing w:line="360" w:lineRule="auto"/>
              <w:rPr>
                <w:rFonts w:cstheme="minorHAnsi"/>
              </w:rPr>
            </w:pPr>
            <w:r w:rsidRPr="00A81743">
              <w:rPr>
                <w:rFonts w:cstheme="minorHAnsi"/>
                <w:b/>
              </w:rPr>
              <w:t>Height (cm)</w:t>
            </w:r>
          </w:p>
        </w:tc>
        <w:tc>
          <w:tcPr>
            <w:tcW w:w="3226" w:type="dxa"/>
          </w:tcPr>
          <w:p w14:paraId="635716BB" w14:textId="77777777" w:rsidR="00C40F3D" w:rsidRPr="00A81743" w:rsidRDefault="00C40F3D" w:rsidP="00F23E7B">
            <w:pPr>
              <w:pStyle w:val="NoSpacing"/>
              <w:spacing w:line="360" w:lineRule="auto"/>
              <w:rPr>
                <w:rFonts w:cstheme="minorHAnsi"/>
              </w:rPr>
            </w:pPr>
            <w:r w:rsidRPr="00A81743">
              <w:rPr>
                <w:rFonts w:eastAsia="PMingLiU" w:cstheme="minorHAnsi"/>
                <w:lang w:eastAsia="zh-HK"/>
              </w:rPr>
              <w:t>164.0</w:t>
            </w:r>
          </w:p>
        </w:tc>
        <w:tc>
          <w:tcPr>
            <w:tcW w:w="3226" w:type="dxa"/>
          </w:tcPr>
          <w:p w14:paraId="1F0FF681" w14:textId="77777777" w:rsidR="00C40F3D" w:rsidRPr="00A81743" w:rsidRDefault="00C40F3D" w:rsidP="00F23E7B">
            <w:pPr>
              <w:pStyle w:val="NoSpacing"/>
              <w:spacing w:line="360" w:lineRule="auto"/>
              <w:rPr>
                <w:rFonts w:cstheme="minorHAnsi"/>
              </w:rPr>
            </w:pPr>
            <w:r w:rsidRPr="00A81743">
              <w:rPr>
                <w:rFonts w:eastAsia="PMingLiU" w:cstheme="minorHAnsi"/>
                <w:lang w:eastAsia="zh-HK"/>
              </w:rPr>
              <w:t>163.5</w:t>
            </w:r>
          </w:p>
        </w:tc>
      </w:tr>
      <w:tr w:rsidR="00C40F3D" w:rsidRPr="00A81743" w14:paraId="0F351297" w14:textId="77777777" w:rsidTr="0034457E">
        <w:trPr>
          <w:trHeight w:val="228"/>
        </w:trPr>
        <w:tc>
          <w:tcPr>
            <w:tcW w:w="3435" w:type="dxa"/>
          </w:tcPr>
          <w:p w14:paraId="6EF5D38C" w14:textId="77777777" w:rsidR="00C40F3D" w:rsidRPr="00A81743" w:rsidRDefault="00C40F3D" w:rsidP="00F23E7B">
            <w:pPr>
              <w:pStyle w:val="NoSpacing"/>
              <w:spacing w:line="360" w:lineRule="auto"/>
              <w:rPr>
                <w:rFonts w:cstheme="minorHAnsi"/>
              </w:rPr>
            </w:pPr>
            <w:r w:rsidRPr="00A81743">
              <w:rPr>
                <w:rFonts w:cstheme="minorHAnsi"/>
                <w:b/>
              </w:rPr>
              <w:t>Weight (kg)</w:t>
            </w:r>
          </w:p>
        </w:tc>
        <w:tc>
          <w:tcPr>
            <w:tcW w:w="3226" w:type="dxa"/>
          </w:tcPr>
          <w:p w14:paraId="67C19FD0" w14:textId="77777777" w:rsidR="00C40F3D" w:rsidRPr="00A81743" w:rsidRDefault="00C40F3D" w:rsidP="00F23E7B">
            <w:pPr>
              <w:pStyle w:val="NoSpacing"/>
              <w:spacing w:line="360" w:lineRule="auto"/>
              <w:rPr>
                <w:rFonts w:cstheme="minorHAnsi"/>
              </w:rPr>
            </w:pPr>
            <w:r w:rsidRPr="00A81743">
              <w:rPr>
                <w:rFonts w:eastAsia="PMingLiU" w:cstheme="minorHAnsi"/>
                <w:lang w:eastAsia="zh-HK"/>
              </w:rPr>
              <w:t>80.5</w:t>
            </w:r>
          </w:p>
        </w:tc>
        <w:tc>
          <w:tcPr>
            <w:tcW w:w="3226" w:type="dxa"/>
          </w:tcPr>
          <w:p w14:paraId="0A1CD571" w14:textId="77777777" w:rsidR="00C40F3D" w:rsidRPr="00A81743" w:rsidRDefault="00C40F3D" w:rsidP="00F23E7B">
            <w:pPr>
              <w:pStyle w:val="NoSpacing"/>
              <w:spacing w:line="360" w:lineRule="auto"/>
              <w:rPr>
                <w:rFonts w:cstheme="minorHAnsi"/>
              </w:rPr>
            </w:pPr>
            <w:r w:rsidRPr="00A81743">
              <w:rPr>
                <w:rFonts w:eastAsia="PMingLiU" w:cstheme="minorHAnsi"/>
                <w:lang w:eastAsia="zh-HK"/>
              </w:rPr>
              <w:t>86.0</w:t>
            </w:r>
          </w:p>
        </w:tc>
      </w:tr>
      <w:tr w:rsidR="00C40F3D" w:rsidRPr="00A81743" w14:paraId="6FB0B115" w14:textId="77777777" w:rsidTr="0034457E">
        <w:trPr>
          <w:trHeight w:val="228"/>
        </w:trPr>
        <w:tc>
          <w:tcPr>
            <w:tcW w:w="3435" w:type="dxa"/>
          </w:tcPr>
          <w:p w14:paraId="0216E9B9" w14:textId="77777777" w:rsidR="00C40F3D" w:rsidRPr="00A81743" w:rsidRDefault="00C40F3D" w:rsidP="00F23E7B">
            <w:pPr>
              <w:pStyle w:val="NoSpacing"/>
              <w:spacing w:line="360" w:lineRule="auto"/>
              <w:rPr>
                <w:rFonts w:cstheme="minorHAnsi"/>
                <w:b/>
              </w:rPr>
            </w:pPr>
            <w:r w:rsidRPr="00A81743">
              <w:rPr>
                <w:rFonts w:cstheme="minorHAnsi"/>
                <w:b/>
              </w:rPr>
              <w:t>BMI</w:t>
            </w:r>
          </w:p>
        </w:tc>
        <w:tc>
          <w:tcPr>
            <w:tcW w:w="3226" w:type="dxa"/>
          </w:tcPr>
          <w:p w14:paraId="441120E5" w14:textId="77777777" w:rsidR="00C40F3D" w:rsidRPr="00A81743" w:rsidRDefault="00C40F3D" w:rsidP="00F23E7B">
            <w:pPr>
              <w:pStyle w:val="NoSpacing"/>
              <w:spacing w:line="360" w:lineRule="auto"/>
              <w:rPr>
                <w:rFonts w:eastAsia="PMingLiU" w:cstheme="minorHAnsi"/>
                <w:lang w:eastAsia="zh-HK"/>
              </w:rPr>
            </w:pPr>
            <w:r w:rsidRPr="00A81743">
              <w:rPr>
                <w:rFonts w:eastAsia="PMingLiU" w:cstheme="minorHAnsi"/>
                <w:lang w:eastAsia="zh-HK"/>
              </w:rPr>
              <w:t>29.97</w:t>
            </w:r>
          </w:p>
        </w:tc>
        <w:tc>
          <w:tcPr>
            <w:tcW w:w="3226" w:type="dxa"/>
          </w:tcPr>
          <w:p w14:paraId="6027BDFE" w14:textId="77777777" w:rsidR="00C40F3D" w:rsidRPr="00A81743" w:rsidRDefault="00C40F3D" w:rsidP="00F23E7B">
            <w:pPr>
              <w:pStyle w:val="NoSpacing"/>
              <w:spacing w:line="360" w:lineRule="auto"/>
              <w:rPr>
                <w:rFonts w:eastAsia="PMingLiU" w:cstheme="minorHAnsi"/>
                <w:lang w:eastAsia="zh-HK"/>
              </w:rPr>
            </w:pPr>
            <w:r w:rsidRPr="00A81743">
              <w:rPr>
                <w:rFonts w:eastAsia="PMingLiU" w:cstheme="minorHAnsi"/>
                <w:lang w:eastAsia="zh-HK"/>
              </w:rPr>
              <w:t>33.03</w:t>
            </w:r>
          </w:p>
        </w:tc>
      </w:tr>
      <w:tr w:rsidR="00C40F3D" w:rsidRPr="00A81743" w14:paraId="601D97F8" w14:textId="77777777" w:rsidTr="0034457E">
        <w:trPr>
          <w:trHeight w:val="228"/>
        </w:trPr>
        <w:tc>
          <w:tcPr>
            <w:tcW w:w="3435" w:type="dxa"/>
          </w:tcPr>
          <w:p w14:paraId="68865D79" w14:textId="77777777" w:rsidR="00C40F3D" w:rsidRPr="00A81743" w:rsidRDefault="00C40F3D" w:rsidP="00F23E7B">
            <w:pPr>
              <w:pStyle w:val="NoSpacing"/>
              <w:spacing w:line="360" w:lineRule="auto"/>
              <w:rPr>
                <w:rFonts w:cstheme="minorHAnsi"/>
              </w:rPr>
            </w:pPr>
            <w:r w:rsidRPr="00A81743">
              <w:rPr>
                <w:rFonts w:cstheme="minorHAnsi"/>
                <w:b/>
              </w:rPr>
              <w:t xml:space="preserve">Median </w:t>
            </w:r>
            <w:r w:rsidRPr="00A81743">
              <w:rPr>
                <w:rFonts w:eastAsia="PMingLiU" w:cstheme="minorHAnsi"/>
                <w:b/>
                <w:lang w:eastAsia="zh-HK"/>
              </w:rPr>
              <w:t>c</w:t>
            </w:r>
            <w:r w:rsidRPr="00A81743">
              <w:rPr>
                <w:rFonts w:cstheme="minorHAnsi"/>
                <w:b/>
              </w:rPr>
              <w:t>ase duration (min)</w:t>
            </w:r>
          </w:p>
        </w:tc>
        <w:tc>
          <w:tcPr>
            <w:tcW w:w="3226" w:type="dxa"/>
          </w:tcPr>
          <w:p w14:paraId="05BCEBEA" w14:textId="77777777" w:rsidR="00C40F3D" w:rsidRPr="00A81743" w:rsidRDefault="00C40F3D" w:rsidP="00F23E7B">
            <w:pPr>
              <w:pStyle w:val="NoSpacing"/>
              <w:spacing w:line="360" w:lineRule="auto"/>
              <w:rPr>
                <w:rFonts w:cstheme="minorHAnsi"/>
              </w:rPr>
            </w:pPr>
            <w:r w:rsidRPr="00A81743">
              <w:rPr>
                <w:rFonts w:cstheme="minorHAnsi"/>
              </w:rPr>
              <w:t>130</w:t>
            </w:r>
          </w:p>
        </w:tc>
        <w:tc>
          <w:tcPr>
            <w:tcW w:w="3226" w:type="dxa"/>
          </w:tcPr>
          <w:p w14:paraId="3BB31446" w14:textId="77777777" w:rsidR="00C40F3D" w:rsidRPr="00A81743" w:rsidRDefault="00C40F3D" w:rsidP="00F23E7B">
            <w:pPr>
              <w:pStyle w:val="NoSpacing"/>
              <w:spacing w:line="360" w:lineRule="auto"/>
              <w:rPr>
                <w:rFonts w:cstheme="minorHAnsi"/>
              </w:rPr>
            </w:pPr>
            <w:r w:rsidRPr="00A81743">
              <w:rPr>
                <w:rFonts w:cstheme="minorHAnsi"/>
              </w:rPr>
              <w:t>120</w:t>
            </w:r>
          </w:p>
        </w:tc>
      </w:tr>
      <w:tr w:rsidR="00C40F3D" w:rsidRPr="00A81743" w14:paraId="6173D0CB" w14:textId="77777777" w:rsidTr="0034457E">
        <w:trPr>
          <w:trHeight w:val="228"/>
        </w:trPr>
        <w:tc>
          <w:tcPr>
            <w:tcW w:w="3435" w:type="dxa"/>
          </w:tcPr>
          <w:p w14:paraId="6A5BFD6D" w14:textId="77777777" w:rsidR="00C40F3D" w:rsidRPr="00A81743" w:rsidRDefault="00C40F3D" w:rsidP="00F23E7B">
            <w:pPr>
              <w:pStyle w:val="NoSpacing"/>
              <w:spacing w:line="360" w:lineRule="auto"/>
              <w:rPr>
                <w:rFonts w:cstheme="minorHAnsi"/>
                <w:b/>
              </w:rPr>
            </w:pPr>
            <w:r w:rsidRPr="00A81743">
              <w:rPr>
                <w:rFonts w:cstheme="minorHAnsi"/>
                <w:b/>
              </w:rPr>
              <w:t>Procedure</w:t>
            </w:r>
          </w:p>
        </w:tc>
        <w:tc>
          <w:tcPr>
            <w:tcW w:w="3226" w:type="dxa"/>
          </w:tcPr>
          <w:p w14:paraId="661633DC" w14:textId="05731F04" w:rsidR="00C40F3D" w:rsidRPr="00A81743" w:rsidRDefault="00C54CF3" w:rsidP="00F23E7B">
            <w:pPr>
              <w:pStyle w:val="NoSpacing"/>
              <w:spacing w:line="360" w:lineRule="auto"/>
              <w:rPr>
                <w:rFonts w:cstheme="minorHAnsi"/>
              </w:rPr>
            </w:pPr>
            <w:r>
              <w:rPr>
                <w:rFonts w:cstheme="minorHAnsi"/>
              </w:rPr>
              <w:t>n</w:t>
            </w:r>
            <w:r w:rsidR="00C40F3D" w:rsidRPr="00A81743">
              <w:rPr>
                <w:rFonts w:cstheme="minorHAnsi"/>
              </w:rPr>
              <w:t xml:space="preserve"> (percent)</w:t>
            </w:r>
          </w:p>
        </w:tc>
        <w:tc>
          <w:tcPr>
            <w:tcW w:w="3226" w:type="dxa"/>
          </w:tcPr>
          <w:p w14:paraId="7CD06306" w14:textId="4FAD2275" w:rsidR="00C40F3D" w:rsidRPr="00A81743" w:rsidRDefault="00C54CF3" w:rsidP="00F23E7B">
            <w:pPr>
              <w:pStyle w:val="NoSpacing"/>
              <w:spacing w:line="360" w:lineRule="auto"/>
              <w:rPr>
                <w:rFonts w:cstheme="minorHAnsi"/>
              </w:rPr>
            </w:pPr>
            <w:r>
              <w:rPr>
                <w:rFonts w:cstheme="minorHAnsi"/>
              </w:rPr>
              <w:t>n</w:t>
            </w:r>
            <w:r w:rsidR="00C40F3D" w:rsidRPr="00A81743">
              <w:rPr>
                <w:rFonts w:cstheme="minorHAnsi"/>
              </w:rPr>
              <w:t xml:space="preserve"> (percent)</w:t>
            </w:r>
          </w:p>
        </w:tc>
      </w:tr>
      <w:tr w:rsidR="00C40F3D" w:rsidRPr="00A81743" w14:paraId="04FD73EC" w14:textId="77777777" w:rsidTr="0034457E">
        <w:trPr>
          <w:trHeight w:val="228"/>
        </w:trPr>
        <w:tc>
          <w:tcPr>
            <w:tcW w:w="3435" w:type="dxa"/>
          </w:tcPr>
          <w:p w14:paraId="331DE014" w14:textId="77777777" w:rsidR="00C40F3D" w:rsidRPr="00A81743" w:rsidRDefault="00C40F3D" w:rsidP="00F23E7B">
            <w:pPr>
              <w:pStyle w:val="NoSpacing"/>
              <w:spacing w:line="360" w:lineRule="auto"/>
              <w:rPr>
                <w:rFonts w:cstheme="minorHAnsi"/>
              </w:rPr>
            </w:pPr>
            <w:r w:rsidRPr="00A81743">
              <w:rPr>
                <w:rFonts w:cstheme="minorHAnsi"/>
              </w:rPr>
              <w:t xml:space="preserve">    TKR</w:t>
            </w:r>
          </w:p>
        </w:tc>
        <w:tc>
          <w:tcPr>
            <w:tcW w:w="3226" w:type="dxa"/>
          </w:tcPr>
          <w:p w14:paraId="1C2A1B10" w14:textId="77777777" w:rsidR="00C40F3D" w:rsidRPr="00A81743" w:rsidRDefault="00C40F3D" w:rsidP="00F23E7B">
            <w:pPr>
              <w:pStyle w:val="NoSpacing"/>
              <w:spacing w:line="360" w:lineRule="auto"/>
              <w:rPr>
                <w:rFonts w:cstheme="minorHAnsi"/>
              </w:rPr>
            </w:pPr>
            <w:r w:rsidRPr="00A81743">
              <w:rPr>
                <w:rFonts w:cstheme="minorHAnsi"/>
              </w:rPr>
              <w:t>9 (36)</w:t>
            </w:r>
          </w:p>
        </w:tc>
        <w:tc>
          <w:tcPr>
            <w:tcW w:w="3226" w:type="dxa"/>
          </w:tcPr>
          <w:p w14:paraId="165CE658" w14:textId="77777777" w:rsidR="00C40F3D" w:rsidRPr="00A81743" w:rsidRDefault="00C40F3D" w:rsidP="00F23E7B">
            <w:pPr>
              <w:pStyle w:val="NoSpacing"/>
              <w:spacing w:line="360" w:lineRule="auto"/>
              <w:rPr>
                <w:rFonts w:cstheme="minorHAnsi"/>
              </w:rPr>
            </w:pPr>
            <w:r w:rsidRPr="00A81743">
              <w:rPr>
                <w:rFonts w:cstheme="minorHAnsi"/>
              </w:rPr>
              <w:t>11 (44)</w:t>
            </w:r>
          </w:p>
        </w:tc>
      </w:tr>
      <w:tr w:rsidR="00C40F3D" w:rsidRPr="00A81743" w14:paraId="1DDE8E06" w14:textId="77777777" w:rsidTr="0034457E">
        <w:trPr>
          <w:trHeight w:val="228"/>
        </w:trPr>
        <w:tc>
          <w:tcPr>
            <w:tcW w:w="3435" w:type="dxa"/>
          </w:tcPr>
          <w:p w14:paraId="0A54CFD2" w14:textId="77777777" w:rsidR="00C40F3D" w:rsidRPr="00A81743" w:rsidRDefault="00C40F3D" w:rsidP="00F23E7B">
            <w:pPr>
              <w:pStyle w:val="NoSpacing"/>
              <w:spacing w:line="360" w:lineRule="auto"/>
              <w:rPr>
                <w:rFonts w:cstheme="minorHAnsi"/>
              </w:rPr>
            </w:pPr>
            <w:r w:rsidRPr="00A81743">
              <w:rPr>
                <w:rFonts w:cstheme="minorHAnsi"/>
              </w:rPr>
              <w:t xml:space="preserve">    THR</w:t>
            </w:r>
          </w:p>
        </w:tc>
        <w:tc>
          <w:tcPr>
            <w:tcW w:w="3226" w:type="dxa"/>
          </w:tcPr>
          <w:p w14:paraId="72B56FC5" w14:textId="77777777" w:rsidR="00C40F3D" w:rsidRPr="00A81743" w:rsidRDefault="00C40F3D" w:rsidP="00F23E7B">
            <w:pPr>
              <w:pStyle w:val="NoSpacing"/>
              <w:spacing w:line="360" w:lineRule="auto"/>
              <w:rPr>
                <w:rFonts w:cstheme="minorHAnsi"/>
              </w:rPr>
            </w:pPr>
            <w:r w:rsidRPr="00A81743">
              <w:rPr>
                <w:rFonts w:cstheme="minorHAnsi"/>
              </w:rPr>
              <w:t>14 (56)</w:t>
            </w:r>
          </w:p>
        </w:tc>
        <w:tc>
          <w:tcPr>
            <w:tcW w:w="3226" w:type="dxa"/>
          </w:tcPr>
          <w:p w14:paraId="358DD985" w14:textId="77777777" w:rsidR="00C40F3D" w:rsidRPr="00A81743" w:rsidRDefault="00C40F3D" w:rsidP="00F23E7B">
            <w:pPr>
              <w:pStyle w:val="NoSpacing"/>
              <w:spacing w:line="360" w:lineRule="auto"/>
              <w:rPr>
                <w:rFonts w:cstheme="minorHAnsi"/>
              </w:rPr>
            </w:pPr>
            <w:r w:rsidRPr="00A81743">
              <w:rPr>
                <w:rFonts w:cstheme="minorHAnsi"/>
              </w:rPr>
              <w:t>9 (36)</w:t>
            </w:r>
          </w:p>
        </w:tc>
      </w:tr>
      <w:tr w:rsidR="00C40F3D" w:rsidRPr="00A81743" w14:paraId="5266A3B0" w14:textId="77777777" w:rsidTr="0034457E">
        <w:trPr>
          <w:trHeight w:val="228"/>
        </w:trPr>
        <w:tc>
          <w:tcPr>
            <w:tcW w:w="3435" w:type="dxa"/>
          </w:tcPr>
          <w:p w14:paraId="7DFB3353" w14:textId="77777777" w:rsidR="00C40F3D" w:rsidRPr="00A81743" w:rsidRDefault="00C40F3D" w:rsidP="00F23E7B">
            <w:pPr>
              <w:pStyle w:val="NoSpacing"/>
              <w:spacing w:line="360" w:lineRule="auto"/>
              <w:rPr>
                <w:rFonts w:cstheme="minorHAnsi"/>
              </w:rPr>
            </w:pPr>
            <w:r w:rsidRPr="00A81743">
              <w:rPr>
                <w:rFonts w:cstheme="minorHAnsi"/>
              </w:rPr>
              <w:t xml:space="preserve">    Anterior THR</w:t>
            </w:r>
          </w:p>
        </w:tc>
        <w:tc>
          <w:tcPr>
            <w:tcW w:w="3226" w:type="dxa"/>
          </w:tcPr>
          <w:p w14:paraId="28ECEB5E" w14:textId="77777777" w:rsidR="00C40F3D" w:rsidRPr="00A81743" w:rsidRDefault="00C40F3D" w:rsidP="00F23E7B">
            <w:pPr>
              <w:pStyle w:val="NoSpacing"/>
              <w:spacing w:line="360" w:lineRule="auto"/>
              <w:rPr>
                <w:rFonts w:cstheme="minorHAnsi"/>
              </w:rPr>
            </w:pPr>
            <w:r w:rsidRPr="00A81743">
              <w:rPr>
                <w:rFonts w:cstheme="minorHAnsi"/>
              </w:rPr>
              <w:t>1 (4)</w:t>
            </w:r>
          </w:p>
        </w:tc>
        <w:tc>
          <w:tcPr>
            <w:tcW w:w="3226" w:type="dxa"/>
          </w:tcPr>
          <w:p w14:paraId="240E4480" w14:textId="77777777" w:rsidR="00C40F3D" w:rsidRPr="00A81743" w:rsidRDefault="00C40F3D" w:rsidP="00F23E7B">
            <w:pPr>
              <w:pStyle w:val="NoSpacing"/>
              <w:spacing w:line="360" w:lineRule="auto"/>
              <w:rPr>
                <w:rFonts w:cstheme="minorHAnsi"/>
              </w:rPr>
            </w:pPr>
            <w:r w:rsidRPr="00A81743">
              <w:rPr>
                <w:rFonts w:cstheme="minorHAnsi"/>
              </w:rPr>
              <w:t>4 (16)</w:t>
            </w:r>
          </w:p>
        </w:tc>
      </w:tr>
      <w:tr w:rsidR="00C40F3D" w:rsidRPr="00A81743" w14:paraId="15A64A54" w14:textId="77777777" w:rsidTr="0034457E">
        <w:trPr>
          <w:trHeight w:val="228"/>
        </w:trPr>
        <w:tc>
          <w:tcPr>
            <w:tcW w:w="3435" w:type="dxa"/>
          </w:tcPr>
          <w:p w14:paraId="46A271D3" w14:textId="77777777" w:rsidR="00C40F3D" w:rsidRPr="00A81743" w:rsidRDefault="00C40F3D" w:rsidP="00F23E7B">
            <w:pPr>
              <w:pStyle w:val="NoSpacing"/>
              <w:spacing w:line="360" w:lineRule="auto"/>
              <w:rPr>
                <w:rFonts w:cstheme="minorHAnsi"/>
              </w:rPr>
            </w:pPr>
            <w:r w:rsidRPr="00A81743">
              <w:rPr>
                <w:rFonts w:cstheme="minorHAnsi"/>
              </w:rPr>
              <w:t xml:space="preserve">    Hip hemiarthroplasty</w:t>
            </w:r>
          </w:p>
        </w:tc>
        <w:tc>
          <w:tcPr>
            <w:tcW w:w="3226" w:type="dxa"/>
          </w:tcPr>
          <w:p w14:paraId="60F59227" w14:textId="77777777" w:rsidR="00C40F3D" w:rsidRPr="00A81743" w:rsidRDefault="00C40F3D" w:rsidP="00F23E7B">
            <w:pPr>
              <w:pStyle w:val="NoSpacing"/>
              <w:spacing w:line="360" w:lineRule="auto"/>
              <w:rPr>
                <w:rFonts w:cstheme="minorHAnsi"/>
              </w:rPr>
            </w:pPr>
            <w:r w:rsidRPr="00A81743">
              <w:rPr>
                <w:rFonts w:cstheme="minorHAnsi"/>
              </w:rPr>
              <w:t>0 (0)</w:t>
            </w:r>
          </w:p>
        </w:tc>
        <w:tc>
          <w:tcPr>
            <w:tcW w:w="3226" w:type="dxa"/>
          </w:tcPr>
          <w:p w14:paraId="47F4CE97" w14:textId="77777777" w:rsidR="00C40F3D" w:rsidRPr="00A81743" w:rsidRDefault="00C40F3D" w:rsidP="00F23E7B">
            <w:pPr>
              <w:pStyle w:val="NoSpacing"/>
              <w:spacing w:line="360" w:lineRule="auto"/>
              <w:rPr>
                <w:rFonts w:cstheme="minorHAnsi"/>
              </w:rPr>
            </w:pPr>
            <w:r w:rsidRPr="00A81743">
              <w:rPr>
                <w:rFonts w:cstheme="minorHAnsi"/>
              </w:rPr>
              <w:t>1 (4)</w:t>
            </w:r>
          </w:p>
        </w:tc>
      </w:tr>
      <w:tr w:rsidR="00C40F3D" w:rsidRPr="00A81743" w14:paraId="236C4BA8" w14:textId="77777777" w:rsidTr="0034457E">
        <w:trPr>
          <w:trHeight w:val="228"/>
        </w:trPr>
        <w:tc>
          <w:tcPr>
            <w:tcW w:w="3435" w:type="dxa"/>
          </w:tcPr>
          <w:p w14:paraId="277E3955" w14:textId="77777777" w:rsidR="00C40F3D" w:rsidRPr="00A81743" w:rsidRDefault="00C40F3D" w:rsidP="00F23E7B">
            <w:pPr>
              <w:pStyle w:val="NoSpacing"/>
              <w:spacing w:line="360" w:lineRule="auto"/>
              <w:rPr>
                <w:rFonts w:cstheme="minorHAnsi"/>
              </w:rPr>
            </w:pPr>
            <w:r w:rsidRPr="00A81743">
              <w:rPr>
                <w:rFonts w:cstheme="minorHAnsi"/>
              </w:rPr>
              <w:t xml:space="preserve">    PFJ</w:t>
            </w:r>
          </w:p>
        </w:tc>
        <w:tc>
          <w:tcPr>
            <w:tcW w:w="3226" w:type="dxa"/>
          </w:tcPr>
          <w:p w14:paraId="306A29ED" w14:textId="77777777" w:rsidR="00C40F3D" w:rsidRPr="00A81743" w:rsidRDefault="00C40F3D" w:rsidP="00F23E7B">
            <w:pPr>
              <w:pStyle w:val="NoSpacing"/>
              <w:spacing w:line="360" w:lineRule="auto"/>
              <w:rPr>
                <w:rFonts w:cstheme="minorHAnsi"/>
              </w:rPr>
            </w:pPr>
            <w:r w:rsidRPr="00A81743">
              <w:rPr>
                <w:rFonts w:cstheme="minorHAnsi"/>
              </w:rPr>
              <w:t>1 (4)</w:t>
            </w:r>
          </w:p>
        </w:tc>
        <w:tc>
          <w:tcPr>
            <w:tcW w:w="3226" w:type="dxa"/>
          </w:tcPr>
          <w:p w14:paraId="73D73DD7" w14:textId="77777777" w:rsidR="00C40F3D" w:rsidRPr="00A81743" w:rsidRDefault="00C40F3D" w:rsidP="00F23E7B">
            <w:pPr>
              <w:pStyle w:val="NoSpacing"/>
              <w:spacing w:line="360" w:lineRule="auto"/>
              <w:rPr>
                <w:rFonts w:cstheme="minorHAnsi"/>
              </w:rPr>
            </w:pPr>
            <w:r w:rsidRPr="00A81743">
              <w:rPr>
                <w:rFonts w:cstheme="minorHAnsi"/>
              </w:rPr>
              <w:t>0 (4)</w:t>
            </w:r>
          </w:p>
        </w:tc>
      </w:tr>
      <w:tr w:rsidR="00C40F3D" w:rsidRPr="00A81743" w14:paraId="64C3678D" w14:textId="77777777" w:rsidTr="0034457E">
        <w:trPr>
          <w:trHeight w:val="228"/>
        </w:trPr>
        <w:tc>
          <w:tcPr>
            <w:tcW w:w="3435" w:type="dxa"/>
          </w:tcPr>
          <w:p w14:paraId="0C9F2AC0" w14:textId="77777777" w:rsidR="00C40F3D" w:rsidRPr="00A81743" w:rsidRDefault="00C40F3D" w:rsidP="00F23E7B">
            <w:pPr>
              <w:pStyle w:val="NoSpacing"/>
              <w:spacing w:line="360" w:lineRule="auto"/>
              <w:rPr>
                <w:rFonts w:cstheme="minorHAnsi"/>
                <w:b/>
              </w:rPr>
            </w:pPr>
            <w:r w:rsidRPr="00A81743">
              <w:rPr>
                <w:rFonts w:cstheme="minorHAnsi"/>
                <w:b/>
              </w:rPr>
              <w:t>Position</w:t>
            </w:r>
          </w:p>
        </w:tc>
        <w:tc>
          <w:tcPr>
            <w:tcW w:w="3226" w:type="dxa"/>
          </w:tcPr>
          <w:p w14:paraId="5137BC80" w14:textId="395FAF1F" w:rsidR="00C40F3D" w:rsidRPr="00A81743" w:rsidRDefault="00C54CF3" w:rsidP="00F23E7B">
            <w:pPr>
              <w:pStyle w:val="NoSpacing"/>
              <w:spacing w:line="360" w:lineRule="auto"/>
              <w:rPr>
                <w:rFonts w:cstheme="minorHAnsi"/>
              </w:rPr>
            </w:pPr>
            <w:r>
              <w:rPr>
                <w:rFonts w:cstheme="minorHAnsi"/>
              </w:rPr>
              <w:t>n</w:t>
            </w:r>
            <w:r w:rsidR="00C40F3D" w:rsidRPr="00A81743">
              <w:rPr>
                <w:rFonts w:cstheme="minorHAnsi"/>
              </w:rPr>
              <w:t xml:space="preserve"> (percent)</w:t>
            </w:r>
          </w:p>
        </w:tc>
        <w:tc>
          <w:tcPr>
            <w:tcW w:w="3226" w:type="dxa"/>
          </w:tcPr>
          <w:p w14:paraId="62474F8B" w14:textId="4882992C" w:rsidR="00C40F3D" w:rsidRPr="00A81743" w:rsidRDefault="00C54CF3" w:rsidP="00F23E7B">
            <w:pPr>
              <w:pStyle w:val="NoSpacing"/>
              <w:spacing w:line="360" w:lineRule="auto"/>
              <w:rPr>
                <w:rFonts w:cstheme="minorHAnsi"/>
              </w:rPr>
            </w:pPr>
            <w:r>
              <w:rPr>
                <w:rFonts w:cstheme="minorHAnsi"/>
              </w:rPr>
              <w:t>n</w:t>
            </w:r>
            <w:r w:rsidR="00C40F3D" w:rsidRPr="00A81743">
              <w:rPr>
                <w:rFonts w:cstheme="minorHAnsi"/>
              </w:rPr>
              <w:t xml:space="preserve"> (percent)</w:t>
            </w:r>
          </w:p>
        </w:tc>
      </w:tr>
      <w:tr w:rsidR="00C40F3D" w:rsidRPr="00A81743" w14:paraId="0BE6338A" w14:textId="77777777" w:rsidTr="0034457E">
        <w:trPr>
          <w:trHeight w:val="228"/>
        </w:trPr>
        <w:tc>
          <w:tcPr>
            <w:tcW w:w="3435" w:type="dxa"/>
          </w:tcPr>
          <w:p w14:paraId="3768872E" w14:textId="77777777" w:rsidR="00C40F3D" w:rsidRPr="00A81743" w:rsidRDefault="00C40F3D" w:rsidP="00F23E7B">
            <w:pPr>
              <w:pStyle w:val="NoSpacing"/>
              <w:spacing w:line="360" w:lineRule="auto"/>
              <w:rPr>
                <w:rFonts w:cstheme="minorHAnsi"/>
              </w:rPr>
            </w:pPr>
            <w:r w:rsidRPr="00A81743">
              <w:rPr>
                <w:rFonts w:cstheme="minorHAnsi"/>
              </w:rPr>
              <w:t xml:space="preserve">    Lateral</w:t>
            </w:r>
          </w:p>
        </w:tc>
        <w:tc>
          <w:tcPr>
            <w:tcW w:w="3226" w:type="dxa"/>
          </w:tcPr>
          <w:p w14:paraId="4016CC53" w14:textId="77777777" w:rsidR="00C40F3D" w:rsidRPr="00A81743" w:rsidRDefault="00C40F3D" w:rsidP="00F23E7B">
            <w:pPr>
              <w:pStyle w:val="NoSpacing"/>
              <w:spacing w:line="360" w:lineRule="auto"/>
              <w:rPr>
                <w:rFonts w:cstheme="minorHAnsi"/>
              </w:rPr>
            </w:pPr>
            <w:r w:rsidRPr="00A81743">
              <w:rPr>
                <w:rFonts w:cstheme="minorHAnsi"/>
              </w:rPr>
              <w:t>14 (56)</w:t>
            </w:r>
          </w:p>
        </w:tc>
        <w:tc>
          <w:tcPr>
            <w:tcW w:w="3226" w:type="dxa"/>
          </w:tcPr>
          <w:p w14:paraId="45A9531C" w14:textId="77777777" w:rsidR="00C40F3D" w:rsidRPr="00A81743" w:rsidRDefault="00C40F3D" w:rsidP="00F23E7B">
            <w:pPr>
              <w:pStyle w:val="NoSpacing"/>
              <w:spacing w:line="360" w:lineRule="auto"/>
              <w:rPr>
                <w:rFonts w:cstheme="minorHAnsi"/>
              </w:rPr>
            </w:pPr>
            <w:r w:rsidRPr="00A81743">
              <w:rPr>
                <w:rFonts w:cstheme="minorHAnsi"/>
              </w:rPr>
              <w:t>10 (40)</w:t>
            </w:r>
          </w:p>
        </w:tc>
      </w:tr>
      <w:tr w:rsidR="00C40F3D" w:rsidRPr="00A81743" w14:paraId="4E100CBB" w14:textId="77777777" w:rsidTr="0034457E">
        <w:trPr>
          <w:trHeight w:val="228"/>
        </w:trPr>
        <w:tc>
          <w:tcPr>
            <w:tcW w:w="3435" w:type="dxa"/>
          </w:tcPr>
          <w:p w14:paraId="1953EADC" w14:textId="77777777" w:rsidR="00C40F3D" w:rsidRPr="00A81743" w:rsidRDefault="00C40F3D" w:rsidP="00F23E7B">
            <w:pPr>
              <w:pStyle w:val="NoSpacing"/>
              <w:spacing w:line="360" w:lineRule="auto"/>
              <w:rPr>
                <w:rFonts w:cstheme="minorHAnsi"/>
              </w:rPr>
            </w:pPr>
            <w:r w:rsidRPr="00A81743">
              <w:rPr>
                <w:rFonts w:cstheme="minorHAnsi"/>
              </w:rPr>
              <w:t xml:space="preserve">    Supine</w:t>
            </w:r>
          </w:p>
        </w:tc>
        <w:tc>
          <w:tcPr>
            <w:tcW w:w="3226" w:type="dxa"/>
          </w:tcPr>
          <w:p w14:paraId="4365B677" w14:textId="77777777" w:rsidR="00C40F3D" w:rsidRPr="00A81743" w:rsidRDefault="00C40F3D" w:rsidP="00F23E7B">
            <w:pPr>
              <w:pStyle w:val="NoSpacing"/>
              <w:spacing w:line="360" w:lineRule="auto"/>
              <w:rPr>
                <w:rFonts w:cstheme="minorHAnsi"/>
              </w:rPr>
            </w:pPr>
            <w:r w:rsidRPr="00A81743">
              <w:rPr>
                <w:rFonts w:cstheme="minorHAnsi"/>
              </w:rPr>
              <w:t>11 (44)</w:t>
            </w:r>
          </w:p>
        </w:tc>
        <w:tc>
          <w:tcPr>
            <w:tcW w:w="3226" w:type="dxa"/>
          </w:tcPr>
          <w:p w14:paraId="3015C414" w14:textId="77777777" w:rsidR="00C40F3D" w:rsidRPr="00A81743" w:rsidRDefault="00C40F3D" w:rsidP="00F23E7B">
            <w:pPr>
              <w:pStyle w:val="NoSpacing"/>
              <w:spacing w:line="360" w:lineRule="auto"/>
              <w:rPr>
                <w:rFonts w:cstheme="minorHAnsi"/>
              </w:rPr>
            </w:pPr>
            <w:r w:rsidRPr="00A81743">
              <w:rPr>
                <w:rFonts w:cstheme="minorHAnsi"/>
              </w:rPr>
              <w:t>15 (60)</w:t>
            </w:r>
          </w:p>
        </w:tc>
      </w:tr>
    </w:tbl>
    <w:p w14:paraId="58C53720" w14:textId="3CA7E054" w:rsidR="00DA0939" w:rsidRDefault="00DA0939" w:rsidP="00F23E7B">
      <w:pPr>
        <w:spacing w:line="360" w:lineRule="auto"/>
        <w:rPr>
          <w:b/>
        </w:rPr>
      </w:pPr>
    </w:p>
    <w:p w14:paraId="0F55BC21" w14:textId="77777777" w:rsidR="00DA0939" w:rsidRDefault="00DA0939" w:rsidP="00F23E7B">
      <w:pPr>
        <w:spacing w:line="360" w:lineRule="auto"/>
        <w:rPr>
          <w:b/>
        </w:rPr>
      </w:pPr>
      <w:r>
        <w:rPr>
          <w:b/>
        </w:rPr>
        <w:br w:type="page"/>
      </w:r>
    </w:p>
    <w:p w14:paraId="7849A766" w14:textId="77777777" w:rsidR="00C40F3D" w:rsidRPr="00C40F3D" w:rsidRDefault="00C40F3D" w:rsidP="00F23E7B">
      <w:pPr>
        <w:spacing w:line="360" w:lineRule="auto"/>
        <w:rPr>
          <w:b/>
        </w:rPr>
      </w:pPr>
    </w:p>
    <w:p w14:paraId="4094DB03" w14:textId="77777777" w:rsidR="004A7134" w:rsidRPr="00C40F3D" w:rsidRDefault="004A7134" w:rsidP="00F23E7B">
      <w:pPr>
        <w:spacing w:line="360" w:lineRule="auto"/>
        <w:rPr>
          <w:b/>
        </w:rPr>
      </w:pPr>
      <w:r w:rsidRPr="00C40F3D">
        <w:rPr>
          <w:b/>
        </w:rPr>
        <w:t xml:space="preserve">Table 2: Summary of </w:t>
      </w:r>
      <w:r>
        <w:rPr>
          <w:b/>
        </w:rPr>
        <w:t xml:space="preserve">self-administered </w:t>
      </w:r>
      <w:r w:rsidRPr="00C40F3D">
        <w:rPr>
          <w:b/>
        </w:rPr>
        <w:t xml:space="preserve">sedation </w:t>
      </w:r>
      <w:r>
        <w:rPr>
          <w:b/>
        </w:rPr>
        <w:t>use</w:t>
      </w:r>
      <w:r w:rsidRPr="00C40F3D">
        <w:rPr>
          <w:b/>
        </w:rPr>
        <w:t xml:space="preserve"> from control and IVR groups</w:t>
      </w:r>
    </w:p>
    <w:tbl>
      <w:tblPr>
        <w:tblStyle w:val="TableGrid"/>
        <w:tblW w:w="9745" w:type="dxa"/>
        <w:tblCellMar>
          <w:top w:w="28" w:type="dxa"/>
          <w:bottom w:w="28" w:type="dxa"/>
        </w:tblCellMar>
        <w:tblLook w:val="04A0" w:firstRow="1" w:lastRow="0" w:firstColumn="1" w:lastColumn="0" w:noHBand="0" w:noVBand="1"/>
      </w:tblPr>
      <w:tblGrid>
        <w:gridCol w:w="2557"/>
        <w:gridCol w:w="2399"/>
        <w:gridCol w:w="2399"/>
        <w:gridCol w:w="2390"/>
      </w:tblGrid>
      <w:tr w:rsidR="004A7134" w:rsidRPr="00A81743" w14:paraId="1FBBC624" w14:textId="77777777" w:rsidTr="00874304">
        <w:trPr>
          <w:trHeight w:val="304"/>
        </w:trPr>
        <w:tc>
          <w:tcPr>
            <w:tcW w:w="2557" w:type="dxa"/>
          </w:tcPr>
          <w:p w14:paraId="29A2D26A" w14:textId="77777777" w:rsidR="004A7134" w:rsidRDefault="004A7134" w:rsidP="00F23E7B">
            <w:pPr>
              <w:pStyle w:val="NoSpacing"/>
              <w:spacing w:line="360" w:lineRule="auto"/>
              <w:rPr>
                <w:rFonts w:cstheme="minorHAnsi"/>
                <w:b/>
              </w:rPr>
            </w:pPr>
          </w:p>
        </w:tc>
        <w:tc>
          <w:tcPr>
            <w:tcW w:w="2399" w:type="dxa"/>
          </w:tcPr>
          <w:p w14:paraId="666EFB8E" w14:textId="77777777" w:rsidR="004A7134" w:rsidRDefault="004A7134" w:rsidP="00F23E7B">
            <w:pPr>
              <w:pStyle w:val="NoSpacing"/>
              <w:spacing w:line="360" w:lineRule="auto"/>
              <w:rPr>
                <w:rFonts w:cstheme="minorHAnsi"/>
                <w:b/>
              </w:rPr>
            </w:pPr>
            <w:r>
              <w:rPr>
                <w:rFonts w:cstheme="minorHAnsi"/>
                <w:b/>
              </w:rPr>
              <w:t>Control</w:t>
            </w:r>
          </w:p>
        </w:tc>
        <w:tc>
          <w:tcPr>
            <w:tcW w:w="2399" w:type="dxa"/>
          </w:tcPr>
          <w:p w14:paraId="4AB568A0" w14:textId="77777777" w:rsidR="004A7134" w:rsidRDefault="004A7134" w:rsidP="00F23E7B">
            <w:pPr>
              <w:pStyle w:val="NoSpacing"/>
              <w:spacing w:line="360" w:lineRule="auto"/>
              <w:rPr>
                <w:rFonts w:cstheme="minorHAnsi"/>
                <w:b/>
              </w:rPr>
            </w:pPr>
            <w:r>
              <w:rPr>
                <w:rFonts w:cstheme="minorHAnsi"/>
                <w:b/>
              </w:rPr>
              <w:t>IVR</w:t>
            </w:r>
          </w:p>
        </w:tc>
        <w:tc>
          <w:tcPr>
            <w:tcW w:w="2390" w:type="dxa"/>
          </w:tcPr>
          <w:p w14:paraId="2C7BAD80" w14:textId="77777777" w:rsidR="004A7134" w:rsidRPr="00AE7478" w:rsidRDefault="004A7134" w:rsidP="00F23E7B">
            <w:pPr>
              <w:pStyle w:val="NoSpacing"/>
              <w:spacing w:line="360" w:lineRule="auto"/>
              <w:rPr>
                <w:rFonts w:cstheme="minorHAnsi"/>
                <w:b/>
              </w:rPr>
            </w:pPr>
            <w:r w:rsidRPr="00AE7478">
              <w:rPr>
                <w:rFonts w:cstheme="minorHAnsi"/>
                <w:b/>
              </w:rPr>
              <w:t>p</w:t>
            </w:r>
          </w:p>
        </w:tc>
      </w:tr>
      <w:tr w:rsidR="004A7134" w:rsidRPr="00A81743" w14:paraId="525B0FCE" w14:textId="77777777" w:rsidTr="00874304">
        <w:trPr>
          <w:trHeight w:val="304"/>
        </w:trPr>
        <w:tc>
          <w:tcPr>
            <w:tcW w:w="2557" w:type="dxa"/>
          </w:tcPr>
          <w:p w14:paraId="01AD273A" w14:textId="77777777" w:rsidR="004A7134" w:rsidRPr="00A81743" w:rsidRDefault="004A7134" w:rsidP="00F23E7B">
            <w:pPr>
              <w:pStyle w:val="NoSpacing"/>
              <w:spacing w:line="360" w:lineRule="auto"/>
              <w:rPr>
                <w:rFonts w:cstheme="minorHAnsi"/>
                <w:b/>
              </w:rPr>
            </w:pPr>
            <w:r>
              <w:rPr>
                <w:rFonts w:cstheme="minorHAnsi"/>
                <w:b/>
              </w:rPr>
              <w:t>Propofol Dose</w:t>
            </w:r>
          </w:p>
        </w:tc>
        <w:tc>
          <w:tcPr>
            <w:tcW w:w="2399" w:type="dxa"/>
          </w:tcPr>
          <w:p w14:paraId="6AC68EDF" w14:textId="77777777" w:rsidR="004A7134" w:rsidRPr="003E6B01" w:rsidRDefault="004A7134" w:rsidP="00F23E7B">
            <w:pPr>
              <w:pStyle w:val="NoSpacing"/>
              <w:spacing w:line="360" w:lineRule="auto"/>
              <w:rPr>
                <w:rFonts w:cstheme="minorHAnsi"/>
                <w:b/>
              </w:rPr>
            </w:pPr>
            <w:r>
              <w:rPr>
                <w:rFonts w:cstheme="minorHAnsi"/>
                <w:b/>
              </w:rPr>
              <w:t>Mean ± SE dose mg</w:t>
            </w:r>
          </w:p>
        </w:tc>
        <w:tc>
          <w:tcPr>
            <w:tcW w:w="2399" w:type="dxa"/>
          </w:tcPr>
          <w:p w14:paraId="5E63E0B2" w14:textId="77777777" w:rsidR="004A7134" w:rsidRPr="003E6B01" w:rsidRDefault="004A7134" w:rsidP="00F23E7B">
            <w:pPr>
              <w:pStyle w:val="NoSpacing"/>
              <w:spacing w:line="360" w:lineRule="auto"/>
              <w:rPr>
                <w:rFonts w:cstheme="minorHAnsi"/>
                <w:b/>
              </w:rPr>
            </w:pPr>
            <w:r>
              <w:rPr>
                <w:rFonts w:cstheme="minorHAnsi"/>
                <w:b/>
              </w:rPr>
              <w:t>Mean ± SE dose mg</w:t>
            </w:r>
          </w:p>
        </w:tc>
        <w:tc>
          <w:tcPr>
            <w:tcW w:w="2390" w:type="dxa"/>
          </w:tcPr>
          <w:p w14:paraId="38AFFBC9" w14:textId="77777777" w:rsidR="004A7134" w:rsidRPr="00A81743" w:rsidRDefault="004A7134" w:rsidP="00F23E7B">
            <w:pPr>
              <w:pStyle w:val="NoSpacing"/>
              <w:spacing w:line="360" w:lineRule="auto"/>
              <w:rPr>
                <w:rFonts w:cstheme="minorHAnsi"/>
              </w:rPr>
            </w:pPr>
          </w:p>
        </w:tc>
      </w:tr>
      <w:tr w:rsidR="004A7134" w:rsidRPr="00A81743" w14:paraId="385386B6" w14:textId="77777777" w:rsidTr="00874304">
        <w:trPr>
          <w:trHeight w:val="304"/>
        </w:trPr>
        <w:tc>
          <w:tcPr>
            <w:tcW w:w="2557" w:type="dxa"/>
          </w:tcPr>
          <w:p w14:paraId="0A7A3E1C" w14:textId="77777777" w:rsidR="004A7134" w:rsidRPr="008B45CB" w:rsidRDefault="004A7134" w:rsidP="00F23E7B">
            <w:pPr>
              <w:pStyle w:val="NoSpacing"/>
              <w:spacing w:line="360" w:lineRule="auto"/>
              <w:rPr>
                <w:rFonts w:cstheme="minorHAnsi"/>
              </w:rPr>
            </w:pPr>
            <w:r>
              <w:rPr>
                <w:rFonts w:cstheme="minorHAnsi"/>
                <w:b/>
              </w:rPr>
              <w:t xml:space="preserve">    </w:t>
            </w:r>
            <w:r>
              <w:rPr>
                <w:rFonts w:cstheme="minorHAnsi"/>
              </w:rPr>
              <w:t>Dose/hour (mg/hr)</w:t>
            </w:r>
          </w:p>
        </w:tc>
        <w:tc>
          <w:tcPr>
            <w:tcW w:w="2399" w:type="dxa"/>
          </w:tcPr>
          <w:p w14:paraId="0EAD7DB5" w14:textId="1D0A2851" w:rsidR="004A7134" w:rsidRPr="00A81743" w:rsidRDefault="004A7134" w:rsidP="00F23E7B">
            <w:pPr>
              <w:pStyle w:val="NoSpacing"/>
              <w:spacing w:line="360" w:lineRule="auto"/>
              <w:rPr>
                <w:rFonts w:cstheme="minorHAnsi"/>
              </w:rPr>
            </w:pPr>
            <w:r>
              <w:rPr>
                <w:rFonts w:cstheme="minorHAnsi"/>
              </w:rPr>
              <w:t>53.5</w:t>
            </w:r>
            <w:r w:rsidR="00827C44">
              <w:rPr>
                <w:rFonts w:cstheme="minorHAnsi"/>
              </w:rPr>
              <w:t xml:space="preserve"> ± 9.7</w:t>
            </w:r>
          </w:p>
        </w:tc>
        <w:tc>
          <w:tcPr>
            <w:tcW w:w="2399" w:type="dxa"/>
          </w:tcPr>
          <w:p w14:paraId="30BC51CF" w14:textId="49A55CA1" w:rsidR="004A7134" w:rsidRPr="00A81743" w:rsidRDefault="00827C44" w:rsidP="00F23E7B">
            <w:pPr>
              <w:pStyle w:val="NoSpacing"/>
              <w:spacing w:line="360" w:lineRule="auto"/>
              <w:rPr>
                <w:rFonts w:cstheme="minorHAnsi"/>
              </w:rPr>
            </w:pPr>
            <w:r>
              <w:rPr>
                <w:rFonts w:cstheme="minorHAnsi"/>
              </w:rPr>
              <w:t>52.3 ± 9.9</w:t>
            </w:r>
          </w:p>
        </w:tc>
        <w:tc>
          <w:tcPr>
            <w:tcW w:w="2390" w:type="dxa"/>
          </w:tcPr>
          <w:p w14:paraId="439B4FDC" w14:textId="2D7E3F50" w:rsidR="004A7134" w:rsidRDefault="00827C44" w:rsidP="00F23E7B">
            <w:pPr>
              <w:pStyle w:val="NoSpacing"/>
              <w:spacing w:line="360" w:lineRule="auto"/>
              <w:rPr>
                <w:rFonts w:cstheme="minorHAnsi"/>
              </w:rPr>
            </w:pPr>
            <w:r>
              <w:rPr>
                <w:rFonts w:cstheme="minorHAnsi"/>
              </w:rPr>
              <w:t>0.72</w:t>
            </w:r>
          </w:p>
        </w:tc>
      </w:tr>
      <w:tr w:rsidR="004A7134" w:rsidRPr="00A81743" w14:paraId="606046FD" w14:textId="77777777" w:rsidTr="00874304">
        <w:trPr>
          <w:trHeight w:val="304"/>
        </w:trPr>
        <w:tc>
          <w:tcPr>
            <w:tcW w:w="2557" w:type="dxa"/>
          </w:tcPr>
          <w:p w14:paraId="7763BB25" w14:textId="77777777" w:rsidR="004A7134" w:rsidRPr="008B45CB" w:rsidRDefault="004A7134" w:rsidP="00F23E7B">
            <w:pPr>
              <w:pStyle w:val="NoSpacing"/>
              <w:spacing w:line="360" w:lineRule="auto"/>
              <w:rPr>
                <w:rFonts w:cstheme="minorHAnsi"/>
              </w:rPr>
            </w:pPr>
            <w:r>
              <w:rPr>
                <w:rFonts w:cstheme="minorHAnsi"/>
              </w:rPr>
              <w:t xml:space="preserve">    Hour 1 (mg)</w:t>
            </w:r>
          </w:p>
        </w:tc>
        <w:tc>
          <w:tcPr>
            <w:tcW w:w="2399" w:type="dxa"/>
          </w:tcPr>
          <w:p w14:paraId="480F8223" w14:textId="77777777" w:rsidR="004A7134" w:rsidRPr="00A81743" w:rsidRDefault="004A7134" w:rsidP="00F23E7B">
            <w:pPr>
              <w:pStyle w:val="NoSpacing"/>
              <w:spacing w:line="360" w:lineRule="auto"/>
              <w:rPr>
                <w:rFonts w:cstheme="minorHAnsi"/>
              </w:rPr>
            </w:pPr>
            <w:r>
              <w:rPr>
                <w:rFonts w:cstheme="minorHAnsi"/>
              </w:rPr>
              <w:t xml:space="preserve">60.2 ± 10.9  </w:t>
            </w:r>
          </w:p>
        </w:tc>
        <w:tc>
          <w:tcPr>
            <w:tcW w:w="2399" w:type="dxa"/>
          </w:tcPr>
          <w:p w14:paraId="160050C2" w14:textId="77777777" w:rsidR="004A7134" w:rsidRPr="00A81743" w:rsidRDefault="004A7134" w:rsidP="00F23E7B">
            <w:pPr>
              <w:pStyle w:val="NoSpacing"/>
              <w:spacing w:line="360" w:lineRule="auto"/>
              <w:rPr>
                <w:rFonts w:cstheme="minorHAnsi"/>
              </w:rPr>
            </w:pPr>
            <w:r>
              <w:rPr>
                <w:rFonts w:cstheme="minorHAnsi"/>
              </w:rPr>
              <w:t>53.7 ± 10.6</w:t>
            </w:r>
          </w:p>
        </w:tc>
        <w:tc>
          <w:tcPr>
            <w:tcW w:w="2390" w:type="dxa"/>
          </w:tcPr>
          <w:p w14:paraId="2526E65D" w14:textId="112CF4D7" w:rsidR="004A7134" w:rsidRDefault="00827C44" w:rsidP="00F23E7B">
            <w:pPr>
              <w:pStyle w:val="NoSpacing"/>
              <w:spacing w:line="360" w:lineRule="auto"/>
              <w:rPr>
                <w:rFonts w:cstheme="minorHAnsi"/>
              </w:rPr>
            </w:pPr>
            <w:r>
              <w:rPr>
                <w:rFonts w:cstheme="minorHAnsi"/>
              </w:rPr>
              <w:t>0.67</w:t>
            </w:r>
          </w:p>
        </w:tc>
      </w:tr>
      <w:tr w:rsidR="004A7134" w:rsidRPr="00A81743" w14:paraId="3CF89A5D" w14:textId="77777777" w:rsidTr="00874304">
        <w:trPr>
          <w:trHeight w:val="304"/>
        </w:trPr>
        <w:tc>
          <w:tcPr>
            <w:tcW w:w="2557" w:type="dxa"/>
          </w:tcPr>
          <w:p w14:paraId="68904381" w14:textId="77777777" w:rsidR="004A7134" w:rsidRDefault="004A7134" w:rsidP="00F23E7B">
            <w:pPr>
              <w:pStyle w:val="NoSpacing"/>
              <w:spacing w:line="360" w:lineRule="auto"/>
              <w:rPr>
                <w:rFonts w:cstheme="minorHAnsi"/>
              </w:rPr>
            </w:pPr>
            <w:r>
              <w:rPr>
                <w:rFonts w:cstheme="minorHAnsi"/>
              </w:rPr>
              <w:t xml:space="preserve">    Hour 2 (mg)</w:t>
            </w:r>
          </w:p>
        </w:tc>
        <w:tc>
          <w:tcPr>
            <w:tcW w:w="2399" w:type="dxa"/>
          </w:tcPr>
          <w:p w14:paraId="017AA5C7" w14:textId="77777777" w:rsidR="004A7134" w:rsidRPr="00A81743" w:rsidRDefault="004A7134" w:rsidP="00F23E7B">
            <w:pPr>
              <w:pStyle w:val="NoSpacing"/>
              <w:spacing w:line="360" w:lineRule="auto"/>
              <w:rPr>
                <w:rFonts w:cstheme="minorHAnsi"/>
              </w:rPr>
            </w:pPr>
            <w:r>
              <w:rPr>
                <w:rFonts w:cstheme="minorHAnsi"/>
              </w:rPr>
              <w:t>35.5 ± 8.6</w:t>
            </w:r>
          </w:p>
        </w:tc>
        <w:tc>
          <w:tcPr>
            <w:tcW w:w="2399" w:type="dxa"/>
          </w:tcPr>
          <w:p w14:paraId="593664B6" w14:textId="77777777" w:rsidR="004A7134" w:rsidRPr="00A81743" w:rsidRDefault="004A7134" w:rsidP="00F23E7B">
            <w:pPr>
              <w:pStyle w:val="NoSpacing"/>
              <w:spacing w:line="360" w:lineRule="auto"/>
              <w:rPr>
                <w:rFonts w:cstheme="minorHAnsi"/>
              </w:rPr>
            </w:pPr>
            <w:r>
              <w:rPr>
                <w:rFonts w:cstheme="minorHAnsi"/>
              </w:rPr>
              <w:t>45.7 ± 11.8</w:t>
            </w:r>
          </w:p>
        </w:tc>
        <w:tc>
          <w:tcPr>
            <w:tcW w:w="2390" w:type="dxa"/>
          </w:tcPr>
          <w:p w14:paraId="16C27469" w14:textId="609D5814" w:rsidR="004A7134" w:rsidRDefault="00827C44" w:rsidP="00F23E7B">
            <w:pPr>
              <w:pStyle w:val="NoSpacing"/>
              <w:spacing w:line="360" w:lineRule="auto"/>
              <w:rPr>
                <w:rFonts w:cstheme="minorHAnsi"/>
              </w:rPr>
            </w:pPr>
            <w:r>
              <w:rPr>
                <w:rFonts w:cstheme="minorHAnsi"/>
              </w:rPr>
              <w:t>0.48</w:t>
            </w:r>
          </w:p>
        </w:tc>
      </w:tr>
      <w:tr w:rsidR="004A7134" w:rsidRPr="00A81743" w14:paraId="04EAE8CA" w14:textId="77777777" w:rsidTr="00874304">
        <w:trPr>
          <w:trHeight w:val="304"/>
        </w:trPr>
        <w:tc>
          <w:tcPr>
            <w:tcW w:w="2557" w:type="dxa"/>
          </w:tcPr>
          <w:p w14:paraId="2846C0CC" w14:textId="77777777" w:rsidR="004A7134" w:rsidRDefault="004A7134" w:rsidP="00F23E7B">
            <w:pPr>
              <w:pStyle w:val="NoSpacing"/>
              <w:spacing w:line="360" w:lineRule="auto"/>
              <w:rPr>
                <w:rFonts w:cstheme="minorHAnsi"/>
              </w:rPr>
            </w:pPr>
            <w:r>
              <w:rPr>
                <w:rFonts w:cstheme="minorHAnsi"/>
              </w:rPr>
              <w:t xml:space="preserve">    Hour 3+ (mg)</w:t>
            </w:r>
          </w:p>
        </w:tc>
        <w:tc>
          <w:tcPr>
            <w:tcW w:w="2399" w:type="dxa"/>
          </w:tcPr>
          <w:p w14:paraId="3D5F11E0" w14:textId="77777777" w:rsidR="004A7134" w:rsidRPr="00A81743" w:rsidRDefault="004A7134" w:rsidP="00F23E7B">
            <w:pPr>
              <w:pStyle w:val="NoSpacing"/>
              <w:spacing w:line="360" w:lineRule="auto"/>
              <w:rPr>
                <w:rFonts w:cstheme="minorHAnsi"/>
              </w:rPr>
            </w:pPr>
            <w:r>
              <w:rPr>
                <w:rFonts w:cstheme="minorHAnsi"/>
              </w:rPr>
              <w:t>20.1 ± 12.5</w:t>
            </w:r>
          </w:p>
        </w:tc>
        <w:tc>
          <w:tcPr>
            <w:tcW w:w="2399" w:type="dxa"/>
          </w:tcPr>
          <w:p w14:paraId="033D87F5" w14:textId="77777777" w:rsidR="004A7134" w:rsidRPr="00A81743" w:rsidRDefault="004A7134" w:rsidP="00F23E7B">
            <w:pPr>
              <w:pStyle w:val="NoSpacing"/>
              <w:spacing w:line="360" w:lineRule="auto"/>
              <w:rPr>
                <w:rFonts w:cstheme="minorHAnsi"/>
              </w:rPr>
            </w:pPr>
            <w:r>
              <w:rPr>
                <w:rFonts w:cstheme="minorHAnsi"/>
              </w:rPr>
              <w:t>22.4 ± 12.0</w:t>
            </w:r>
          </w:p>
        </w:tc>
        <w:tc>
          <w:tcPr>
            <w:tcW w:w="2390" w:type="dxa"/>
          </w:tcPr>
          <w:p w14:paraId="6A9583B7" w14:textId="7C33B4CF" w:rsidR="004A7134" w:rsidRDefault="00827C44" w:rsidP="00F23E7B">
            <w:pPr>
              <w:pStyle w:val="NoSpacing"/>
              <w:spacing w:line="360" w:lineRule="auto"/>
              <w:rPr>
                <w:rFonts w:cstheme="minorHAnsi"/>
              </w:rPr>
            </w:pPr>
            <w:r>
              <w:rPr>
                <w:rFonts w:cstheme="minorHAnsi"/>
              </w:rPr>
              <w:t>0.90</w:t>
            </w:r>
          </w:p>
        </w:tc>
      </w:tr>
      <w:tr w:rsidR="004A7134" w:rsidRPr="00A81743" w14:paraId="5D0F54E2" w14:textId="77777777" w:rsidTr="00874304">
        <w:trPr>
          <w:trHeight w:val="304"/>
        </w:trPr>
        <w:tc>
          <w:tcPr>
            <w:tcW w:w="2557" w:type="dxa"/>
          </w:tcPr>
          <w:p w14:paraId="42F147AD" w14:textId="77777777" w:rsidR="004A7134" w:rsidRDefault="004A7134" w:rsidP="00F23E7B">
            <w:pPr>
              <w:pStyle w:val="NoSpacing"/>
              <w:spacing w:line="360" w:lineRule="auto"/>
              <w:rPr>
                <w:rFonts w:cstheme="minorHAnsi"/>
              </w:rPr>
            </w:pPr>
            <w:r>
              <w:rPr>
                <w:rFonts w:cstheme="minorHAnsi"/>
              </w:rPr>
              <w:t xml:space="preserve">    Total (mg)</w:t>
            </w:r>
          </w:p>
        </w:tc>
        <w:tc>
          <w:tcPr>
            <w:tcW w:w="2399" w:type="dxa"/>
          </w:tcPr>
          <w:p w14:paraId="3D579DD3" w14:textId="77777777" w:rsidR="004A7134" w:rsidRPr="00A81743" w:rsidRDefault="004A7134" w:rsidP="00F23E7B">
            <w:pPr>
              <w:pStyle w:val="NoSpacing"/>
              <w:spacing w:line="360" w:lineRule="auto"/>
              <w:rPr>
                <w:rFonts w:cstheme="minorHAnsi"/>
              </w:rPr>
            </w:pPr>
            <w:r>
              <w:rPr>
                <w:rFonts w:cstheme="minorHAnsi"/>
              </w:rPr>
              <w:t>107.8 ± 20.7</w:t>
            </w:r>
          </w:p>
        </w:tc>
        <w:tc>
          <w:tcPr>
            <w:tcW w:w="2399" w:type="dxa"/>
          </w:tcPr>
          <w:p w14:paraId="654E89A8" w14:textId="77777777" w:rsidR="004A7134" w:rsidRPr="00A81743" w:rsidRDefault="004A7134" w:rsidP="00F23E7B">
            <w:pPr>
              <w:pStyle w:val="NoSpacing"/>
              <w:spacing w:line="360" w:lineRule="auto"/>
              <w:rPr>
                <w:rFonts w:cstheme="minorHAnsi"/>
              </w:rPr>
            </w:pPr>
            <w:r>
              <w:rPr>
                <w:rFonts w:cstheme="minorHAnsi"/>
              </w:rPr>
              <w:t>108.0 ± 22.8</w:t>
            </w:r>
          </w:p>
        </w:tc>
        <w:tc>
          <w:tcPr>
            <w:tcW w:w="2390" w:type="dxa"/>
          </w:tcPr>
          <w:p w14:paraId="1103E25A" w14:textId="7BED6D46" w:rsidR="004A7134" w:rsidRDefault="00827C44" w:rsidP="00F23E7B">
            <w:pPr>
              <w:pStyle w:val="NoSpacing"/>
              <w:spacing w:line="360" w:lineRule="auto"/>
              <w:rPr>
                <w:rFonts w:cstheme="minorHAnsi"/>
              </w:rPr>
            </w:pPr>
            <w:r>
              <w:rPr>
                <w:rFonts w:cstheme="minorHAnsi"/>
              </w:rPr>
              <w:t>0.99</w:t>
            </w:r>
          </w:p>
        </w:tc>
      </w:tr>
      <w:tr w:rsidR="004A7134" w:rsidRPr="00A81743" w14:paraId="46062F3B" w14:textId="77777777" w:rsidTr="00874304">
        <w:trPr>
          <w:trHeight w:val="304"/>
        </w:trPr>
        <w:tc>
          <w:tcPr>
            <w:tcW w:w="2557" w:type="dxa"/>
          </w:tcPr>
          <w:p w14:paraId="3038592A" w14:textId="77777777" w:rsidR="004A7134" w:rsidRPr="0034457E" w:rsidRDefault="004A7134" w:rsidP="00F23E7B">
            <w:pPr>
              <w:pStyle w:val="NoSpacing"/>
              <w:spacing w:line="360" w:lineRule="auto"/>
              <w:rPr>
                <w:rFonts w:cstheme="minorHAnsi"/>
                <w:b/>
              </w:rPr>
            </w:pPr>
            <w:r>
              <w:rPr>
                <w:rFonts w:cstheme="minorHAnsi"/>
                <w:b/>
              </w:rPr>
              <w:t>M</w:t>
            </w:r>
            <w:r w:rsidRPr="0034457E">
              <w:rPr>
                <w:rFonts w:cstheme="minorHAnsi"/>
                <w:b/>
              </w:rPr>
              <w:t>et Propofol Requests</w:t>
            </w:r>
          </w:p>
        </w:tc>
        <w:tc>
          <w:tcPr>
            <w:tcW w:w="2399" w:type="dxa"/>
          </w:tcPr>
          <w:p w14:paraId="7CC16BC8" w14:textId="77777777" w:rsidR="004A7134" w:rsidRPr="00A0579D" w:rsidRDefault="004A7134" w:rsidP="00F23E7B">
            <w:pPr>
              <w:pStyle w:val="NoSpacing"/>
              <w:spacing w:line="360" w:lineRule="auto"/>
              <w:rPr>
                <w:rFonts w:cstheme="minorHAnsi"/>
                <w:b/>
              </w:rPr>
            </w:pPr>
            <w:r w:rsidRPr="00A0579D">
              <w:rPr>
                <w:rFonts w:cstheme="minorHAnsi"/>
                <w:b/>
              </w:rPr>
              <w:t>Median</w:t>
            </w:r>
            <w:r>
              <w:rPr>
                <w:rFonts w:cstheme="minorHAnsi"/>
                <w:b/>
              </w:rPr>
              <w:t xml:space="preserve"> met</w:t>
            </w:r>
            <w:r w:rsidRPr="00A0579D">
              <w:rPr>
                <w:rFonts w:cstheme="minorHAnsi"/>
                <w:b/>
              </w:rPr>
              <w:t xml:space="preserve"> requests (IQR)</w:t>
            </w:r>
          </w:p>
        </w:tc>
        <w:tc>
          <w:tcPr>
            <w:tcW w:w="2399" w:type="dxa"/>
          </w:tcPr>
          <w:p w14:paraId="2350DB75" w14:textId="77777777" w:rsidR="004A7134" w:rsidRDefault="004A7134" w:rsidP="00F23E7B">
            <w:pPr>
              <w:pStyle w:val="NoSpacing"/>
              <w:spacing w:line="360" w:lineRule="auto"/>
              <w:rPr>
                <w:rFonts w:cstheme="minorHAnsi"/>
              </w:rPr>
            </w:pPr>
            <w:r w:rsidRPr="00A0579D">
              <w:rPr>
                <w:rFonts w:cstheme="minorHAnsi"/>
                <w:b/>
              </w:rPr>
              <w:t xml:space="preserve">Median </w:t>
            </w:r>
            <w:r>
              <w:rPr>
                <w:rFonts w:cstheme="minorHAnsi"/>
                <w:b/>
              </w:rPr>
              <w:t xml:space="preserve">met </w:t>
            </w:r>
            <w:r w:rsidRPr="00A0579D">
              <w:rPr>
                <w:rFonts w:cstheme="minorHAnsi"/>
                <w:b/>
              </w:rPr>
              <w:t>requests (IQR)</w:t>
            </w:r>
          </w:p>
        </w:tc>
        <w:tc>
          <w:tcPr>
            <w:tcW w:w="2390" w:type="dxa"/>
          </w:tcPr>
          <w:p w14:paraId="6FFFDE75" w14:textId="77777777" w:rsidR="004A7134" w:rsidRDefault="004A7134" w:rsidP="00F23E7B">
            <w:pPr>
              <w:pStyle w:val="NoSpacing"/>
              <w:spacing w:line="360" w:lineRule="auto"/>
              <w:rPr>
                <w:rFonts w:cstheme="minorHAnsi"/>
              </w:rPr>
            </w:pPr>
          </w:p>
        </w:tc>
      </w:tr>
      <w:tr w:rsidR="004A7134" w:rsidRPr="00A81743" w14:paraId="6A33F2EA" w14:textId="77777777" w:rsidTr="00874304">
        <w:trPr>
          <w:trHeight w:val="304"/>
        </w:trPr>
        <w:tc>
          <w:tcPr>
            <w:tcW w:w="2557" w:type="dxa"/>
          </w:tcPr>
          <w:p w14:paraId="764EC684" w14:textId="77777777" w:rsidR="004A7134" w:rsidRDefault="004A7134" w:rsidP="00F23E7B">
            <w:pPr>
              <w:pStyle w:val="NoSpacing"/>
              <w:spacing w:line="360" w:lineRule="auto"/>
              <w:rPr>
                <w:rFonts w:cstheme="minorHAnsi"/>
              </w:rPr>
            </w:pPr>
            <w:r>
              <w:rPr>
                <w:rFonts w:cstheme="minorHAnsi"/>
              </w:rPr>
              <w:t xml:space="preserve">    Hour 1</w:t>
            </w:r>
          </w:p>
        </w:tc>
        <w:tc>
          <w:tcPr>
            <w:tcW w:w="2399" w:type="dxa"/>
          </w:tcPr>
          <w:p w14:paraId="4722BF39" w14:textId="77777777" w:rsidR="004A7134" w:rsidRDefault="004A7134" w:rsidP="00F23E7B">
            <w:pPr>
              <w:pStyle w:val="NoSpacing"/>
              <w:spacing w:line="360" w:lineRule="auto"/>
              <w:rPr>
                <w:rFonts w:cstheme="minorHAnsi"/>
              </w:rPr>
            </w:pPr>
            <w:r>
              <w:rPr>
                <w:rFonts w:cstheme="minorHAnsi"/>
              </w:rPr>
              <w:t>2 (1-4.5)</w:t>
            </w:r>
          </w:p>
        </w:tc>
        <w:tc>
          <w:tcPr>
            <w:tcW w:w="2399" w:type="dxa"/>
          </w:tcPr>
          <w:p w14:paraId="1B0EBE8F" w14:textId="77777777" w:rsidR="004A7134" w:rsidRDefault="004A7134" w:rsidP="00F23E7B">
            <w:pPr>
              <w:pStyle w:val="NoSpacing"/>
              <w:spacing w:line="360" w:lineRule="auto"/>
              <w:rPr>
                <w:rFonts w:cstheme="minorHAnsi"/>
              </w:rPr>
            </w:pPr>
            <w:r>
              <w:rPr>
                <w:rFonts w:cstheme="minorHAnsi"/>
              </w:rPr>
              <w:t>2 (0-4)</w:t>
            </w:r>
          </w:p>
        </w:tc>
        <w:tc>
          <w:tcPr>
            <w:tcW w:w="2390" w:type="dxa"/>
          </w:tcPr>
          <w:p w14:paraId="1FB1270D" w14:textId="71409481" w:rsidR="004A7134" w:rsidRDefault="00827C44" w:rsidP="00F23E7B">
            <w:pPr>
              <w:pStyle w:val="NoSpacing"/>
              <w:spacing w:line="360" w:lineRule="auto"/>
              <w:rPr>
                <w:rFonts w:cstheme="minorHAnsi"/>
              </w:rPr>
            </w:pPr>
            <w:r>
              <w:rPr>
                <w:rFonts w:cstheme="minorHAnsi"/>
              </w:rPr>
              <w:t>0.41</w:t>
            </w:r>
          </w:p>
        </w:tc>
      </w:tr>
      <w:tr w:rsidR="004A7134" w:rsidRPr="00A81743" w14:paraId="2461B11F" w14:textId="77777777" w:rsidTr="00874304">
        <w:trPr>
          <w:trHeight w:val="304"/>
        </w:trPr>
        <w:tc>
          <w:tcPr>
            <w:tcW w:w="2557" w:type="dxa"/>
          </w:tcPr>
          <w:p w14:paraId="65FAE900" w14:textId="77777777" w:rsidR="004A7134" w:rsidRDefault="004A7134" w:rsidP="00F23E7B">
            <w:pPr>
              <w:pStyle w:val="NoSpacing"/>
              <w:spacing w:line="360" w:lineRule="auto"/>
              <w:rPr>
                <w:rFonts w:cstheme="minorHAnsi"/>
              </w:rPr>
            </w:pPr>
            <w:r>
              <w:rPr>
                <w:rFonts w:cstheme="minorHAnsi"/>
              </w:rPr>
              <w:t xml:space="preserve">    Hour 2</w:t>
            </w:r>
          </w:p>
        </w:tc>
        <w:tc>
          <w:tcPr>
            <w:tcW w:w="2399" w:type="dxa"/>
          </w:tcPr>
          <w:p w14:paraId="65C997B7" w14:textId="77777777" w:rsidR="004A7134" w:rsidRDefault="004A7134" w:rsidP="00F23E7B">
            <w:pPr>
              <w:pStyle w:val="NoSpacing"/>
              <w:spacing w:line="360" w:lineRule="auto"/>
              <w:rPr>
                <w:rFonts w:cstheme="minorHAnsi"/>
              </w:rPr>
            </w:pPr>
            <w:r>
              <w:rPr>
                <w:rFonts w:cstheme="minorHAnsi"/>
              </w:rPr>
              <w:t>1 (1-2.5)</w:t>
            </w:r>
          </w:p>
        </w:tc>
        <w:tc>
          <w:tcPr>
            <w:tcW w:w="2399" w:type="dxa"/>
          </w:tcPr>
          <w:p w14:paraId="01CE24D8" w14:textId="77777777" w:rsidR="004A7134" w:rsidRDefault="004A7134" w:rsidP="00F23E7B">
            <w:pPr>
              <w:pStyle w:val="NoSpacing"/>
              <w:spacing w:line="360" w:lineRule="auto"/>
              <w:rPr>
                <w:rFonts w:cstheme="minorHAnsi"/>
              </w:rPr>
            </w:pPr>
            <w:r>
              <w:rPr>
                <w:rFonts w:cstheme="minorHAnsi"/>
              </w:rPr>
              <w:t>0 (0-3)</w:t>
            </w:r>
          </w:p>
        </w:tc>
        <w:tc>
          <w:tcPr>
            <w:tcW w:w="2390" w:type="dxa"/>
          </w:tcPr>
          <w:p w14:paraId="5C683262" w14:textId="7CCC4024" w:rsidR="004A7134" w:rsidRDefault="00827C44" w:rsidP="00F23E7B">
            <w:pPr>
              <w:pStyle w:val="NoSpacing"/>
              <w:spacing w:line="360" w:lineRule="auto"/>
              <w:rPr>
                <w:rFonts w:cstheme="minorHAnsi"/>
              </w:rPr>
            </w:pPr>
            <w:r>
              <w:rPr>
                <w:rFonts w:cstheme="minorHAnsi"/>
              </w:rPr>
              <w:t>0.84</w:t>
            </w:r>
          </w:p>
        </w:tc>
      </w:tr>
      <w:tr w:rsidR="004A7134" w:rsidRPr="00A81743" w14:paraId="21E43CCD" w14:textId="77777777" w:rsidTr="00874304">
        <w:trPr>
          <w:trHeight w:val="304"/>
        </w:trPr>
        <w:tc>
          <w:tcPr>
            <w:tcW w:w="2557" w:type="dxa"/>
          </w:tcPr>
          <w:p w14:paraId="52D4C2BC" w14:textId="77777777" w:rsidR="004A7134" w:rsidRDefault="004A7134" w:rsidP="00F23E7B">
            <w:pPr>
              <w:pStyle w:val="NoSpacing"/>
              <w:spacing w:line="360" w:lineRule="auto"/>
              <w:rPr>
                <w:rFonts w:cstheme="minorHAnsi"/>
              </w:rPr>
            </w:pPr>
            <w:r>
              <w:rPr>
                <w:rFonts w:cstheme="minorHAnsi"/>
              </w:rPr>
              <w:t xml:space="preserve">    Hour 3+</w:t>
            </w:r>
          </w:p>
        </w:tc>
        <w:tc>
          <w:tcPr>
            <w:tcW w:w="2399" w:type="dxa"/>
          </w:tcPr>
          <w:p w14:paraId="473F8348" w14:textId="77777777" w:rsidR="004A7134" w:rsidRDefault="004A7134" w:rsidP="00F23E7B">
            <w:pPr>
              <w:pStyle w:val="NoSpacing"/>
              <w:spacing w:line="360" w:lineRule="auto"/>
              <w:rPr>
                <w:rFonts w:cstheme="minorHAnsi"/>
              </w:rPr>
            </w:pPr>
            <w:r>
              <w:rPr>
                <w:rFonts w:cstheme="minorHAnsi"/>
              </w:rPr>
              <w:t>0 (0-1)</w:t>
            </w:r>
          </w:p>
        </w:tc>
        <w:tc>
          <w:tcPr>
            <w:tcW w:w="2399" w:type="dxa"/>
          </w:tcPr>
          <w:p w14:paraId="6A9C4AF4" w14:textId="77777777" w:rsidR="004A7134" w:rsidRDefault="004A7134" w:rsidP="00F23E7B">
            <w:pPr>
              <w:pStyle w:val="NoSpacing"/>
              <w:spacing w:line="360" w:lineRule="auto"/>
              <w:rPr>
                <w:rFonts w:cstheme="minorHAnsi"/>
              </w:rPr>
            </w:pPr>
            <w:r>
              <w:rPr>
                <w:rFonts w:cstheme="minorHAnsi"/>
              </w:rPr>
              <w:t>0 (0-3)</w:t>
            </w:r>
          </w:p>
        </w:tc>
        <w:tc>
          <w:tcPr>
            <w:tcW w:w="2390" w:type="dxa"/>
          </w:tcPr>
          <w:p w14:paraId="08F45EC4" w14:textId="397C86AF" w:rsidR="004A7134" w:rsidRDefault="00827C44" w:rsidP="00F23E7B">
            <w:pPr>
              <w:pStyle w:val="NoSpacing"/>
              <w:spacing w:line="360" w:lineRule="auto"/>
              <w:rPr>
                <w:rFonts w:cstheme="minorHAnsi"/>
              </w:rPr>
            </w:pPr>
            <w:r>
              <w:rPr>
                <w:rFonts w:cstheme="minorHAnsi"/>
              </w:rPr>
              <w:t>0.81</w:t>
            </w:r>
          </w:p>
        </w:tc>
      </w:tr>
      <w:tr w:rsidR="004A7134" w:rsidRPr="00A81743" w14:paraId="198095F3" w14:textId="77777777" w:rsidTr="00874304">
        <w:trPr>
          <w:trHeight w:val="304"/>
        </w:trPr>
        <w:tc>
          <w:tcPr>
            <w:tcW w:w="2557" w:type="dxa"/>
          </w:tcPr>
          <w:p w14:paraId="4BFD55C5" w14:textId="77777777" w:rsidR="004A7134" w:rsidRDefault="004A7134" w:rsidP="00F23E7B">
            <w:pPr>
              <w:pStyle w:val="NoSpacing"/>
              <w:spacing w:line="360" w:lineRule="auto"/>
              <w:rPr>
                <w:rFonts w:cstheme="minorHAnsi"/>
              </w:rPr>
            </w:pPr>
            <w:r>
              <w:rPr>
                <w:rFonts w:cstheme="minorHAnsi"/>
              </w:rPr>
              <w:t xml:space="preserve">    Total</w:t>
            </w:r>
          </w:p>
        </w:tc>
        <w:tc>
          <w:tcPr>
            <w:tcW w:w="2399" w:type="dxa"/>
          </w:tcPr>
          <w:p w14:paraId="50D0437A" w14:textId="77777777" w:rsidR="004A7134" w:rsidRDefault="004A7134" w:rsidP="00F23E7B">
            <w:pPr>
              <w:pStyle w:val="NoSpacing"/>
              <w:spacing w:line="360" w:lineRule="auto"/>
              <w:rPr>
                <w:rFonts w:cstheme="minorHAnsi"/>
              </w:rPr>
            </w:pPr>
            <w:r>
              <w:rPr>
                <w:rFonts w:cstheme="minorHAnsi"/>
              </w:rPr>
              <w:t>3 (1-8)</w:t>
            </w:r>
          </w:p>
        </w:tc>
        <w:tc>
          <w:tcPr>
            <w:tcW w:w="2399" w:type="dxa"/>
          </w:tcPr>
          <w:p w14:paraId="60B98226" w14:textId="77777777" w:rsidR="004A7134" w:rsidRDefault="004A7134" w:rsidP="00F23E7B">
            <w:pPr>
              <w:pStyle w:val="NoSpacing"/>
              <w:spacing w:line="360" w:lineRule="auto"/>
              <w:rPr>
                <w:rFonts w:cstheme="minorHAnsi"/>
              </w:rPr>
            </w:pPr>
            <w:r>
              <w:rPr>
                <w:rFonts w:cstheme="minorHAnsi"/>
              </w:rPr>
              <w:t>4 (0-6)</w:t>
            </w:r>
          </w:p>
        </w:tc>
        <w:tc>
          <w:tcPr>
            <w:tcW w:w="2390" w:type="dxa"/>
          </w:tcPr>
          <w:p w14:paraId="47C2DC0C" w14:textId="5337AEA1" w:rsidR="004A7134" w:rsidRDefault="00827C44" w:rsidP="00F23E7B">
            <w:pPr>
              <w:pStyle w:val="NoSpacing"/>
              <w:spacing w:line="360" w:lineRule="auto"/>
              <w:rPr>
                <w:rFonts w:cstheme="minorHAnsi"/>
              </w:rPr>
            </w:pPr>
            <w:r>
              <w:rPr>
                <w:rFonts w:cstheme="minorHAnsi"/>
              </w:rPr>
              <w:t>0.66</w:t>
            </w:r>
          </w:p>
        </w:tc>
      </w:tr>
      <w:tr w:rsidR="004A7134" w:rsidRPr="00A81743" w14:paraId="48AA3D6F" w14:textId="77777777" w:rsidTr="00874304">
        <w:trPr>
          <w:trHeight w:val="304"/>
        </w:trPr>
        <w:tc>
          <w:tcPr>
            <w:tcW w:w="2557" w:type="dxa"/>
          </w:tcPr>
          <w:p w14:paraId="750539BB" w14:textId="77777777" w:rsidR="004A7134" w:rsidRPr="0034457E" w:rsidRDefault="004A7134" w:rsidP="00F23E7B">
            <w:pPr>
              <w:pStyle w:val="NoSpacing"/>
              <w:spacing w:line="360" w:lineRule="auto"/>
              <w:rPr>
                <w:rFonts w:cstheme="minorHAnsi"/>
                <w:b/>
              </w:rPr>
            </w:pPr>
            <w:r w:rsidRPr="0034457E">
              <w:rPr>
                <w:rFonts w:cstheme="minorHAnsi"/>
                <w:b/>
              </w:rPr>
              <w:t>Unmet Propofol Requests</w:t>
            </w:r>
          </w:p>
        </w:tc>
        <w:tc>
          <w:tcPr>
            <w:tcW w:w="2399" w:type="dxa"/>
          </w:tcPr>
          <w:p w14:paraId="6484AC73" w14:textId="77777777" w:rsidR="004A7134" w:rsidRPr="00A0579D" w:rsidRDefault="004A7134" w:rsidP="00F23E7B">
            <w:pPr>
              <w:pStyle w:val="NoSpacing"/>
              <w:spacing w:line="360" w:lineRule="auto"/>
              <w:rPr>
                <w:rFonts w:cstheme="minorHAnsi"/>
                <w:b/>
              </w:rPr>
            </w:pPr>
            <w:r w:rsidRPr="00A0579D">
              <w:rPr>
                <w:rFonts w:cstheme="minorHAnsi"/>
                <w:b/>
              </w:rPr>
              <w:t>Median</w:t>
            </w:r>
            <w:r>
              <w:rPr>
                <w:rFonts w:cstheme="minorHAnsi"/>
                <w:b/>
              </w:rPr>
              <w:t xml:space="preserve"> unmet</w:t>
            </w:r>
            <w:r w:rsidRPr="00A0579D">
              <w:rPr>
                <w:rFonts w:cstheme="minorHAnsi"/>
                <w:b/>
              </w:rPr>
              <w:t xml:space="preserve"> requests (IQR)</w:t>
            </w:r>
          </w:p>
        </w:tc>
        <w:tc>
          <w:tcPr>
            <w:tcW w:w="2399" w:type="dxa"/>
          </w:tcPr>
          <w:p w14:paraId="50D898CF" w14:textId="77777777" w:rsidR="004A7134" w:rsidRDefault="004A7134" w:rsidP="00F23E7B">
            <w:pPr>
              <w:pStyle w:val="NoSpacing"/>
              <w:spacing w:line="360" w:lineRule="auto"/>
              <w:rPr>
                <w:rFonts w:cstheme="minorHAnsi"/>
              </w:rPr>
            </w:pPr>
            <w:r w:rsidRPr="00A0579D">
              <w:rPr>
                <w:rFonts w:cstheme="minorHAnsi"/>
                <w:b/>
              </w:rPr>
              <w:t xml:space="preserve">Median </w:t>
            </w:r>
            <w:r>
              <w:rPr>
                <w:rFonts w:cstheme="minorHAnsi"/>
                <w:b/>
              </w:rPr>
              <w:t xml:space="preserve">unmet </w:t>
            </w:r>
            <w:r w:rsidRPr="00A0579D">
              <w:rPr>
                <w:rFonts w:cstheme="minorHAnsi"/>
                <w:b/>
              </w:rPr>
              <w:t>requests (IQR)</w:t>
            </w:r>
          </w:p>
        </w:tc>
        <w:tc>
          <w:tcPr>
            <w:tcW w:w="2390" w:type="dxa"/>
          </w:tcPr>
          <w:p w14:paraId="206B1FA8" w14:textId="77777777" w:rsidR="004A7134" w:rsidRDefault="004A7134" w:rsidP="00F23E7B">
            <w:pPr>
              <w:pStyle w:val="NoSpacing"/>
              <w:spacing w:line="360" w:lineRule="auto"/>
              <w:rPr>
                <w:rFonts w:cstheme="minorHAnsi"/>
              </w:rPr>
            </w:pPr>
          </w:p>
        </w:tc>
      </w:tr>
      <w:tr w:rsidR="004A7134" w:rsidRPr="00A81743" w14:paraId="1384BA10" w14:textId="77777777" w:rsidTr="00874304">
        <w:trPr>
          <w:trHeight w:val="304"/>
        </w:trPr>
        <w:tc>
          <w:tcPr>
            <w:tcW w:w="2557" w:type="dxa"/>
          </w:tcPr>
          <w:p w14:paraId="46039727" w14:textId="77777777" w:rsidR="004A7134" w:rsidRDefault="004A7134" w:rsidP="00F23E7B">
            <w:pPr>
              <w:pStyle w:val="NoSpacing"/>
              <w:spacing w:line="360" w:lineRule="auto"/>
              <w:rPr>
                <w:rFonts w:cstheme="minorHAnsi"/>
              </w:rPr>
            </w:pPr>
            <w:r>
              <w:rPr>
                <w:rFonts w:cstheme="minorHAnsi"/>
              </w:rPr>
              <w:t xml:space="preserve">    Hour 1</w:t>
            </w:r>
          </w:p>
        </w:tc>
        <w:tc>
          <w:tcPr>
            <w:tcW w:w="2399" w:type="dxa"/>
          </w:tcPr>
          <w:p w14:paraId="12CA861E" w14:textId="77777777" w:rsidR="004A7134" w:rsidRDefault="004A7134" w:rsidP="00F23E7B">
            <w:pPr>
              <w:pStyle w:val="NoSpacing"/>
              <w:spacing w:line="360" w:lineRule="auto"/>
              <w:rPr>
                <w:rFonts w:cstheme="minorHAnsi"/>
              </w:rPr>
            </w:pPr>
            <w:r>
              <w:rPr>
                <w:rFonts w:cstheme="minorHAnsi"/>
              </w:rPr>
              <w:t>0 (0-1)</w:t>
            </w:r>
          </w:p>
        </w:tc>
        <w:tc>
          <w:tcPr>
            <w:tcW w:w="2399" w:type="dxa"/>
          </w:tcPr>
          <w:p w14:paraId="7E87E34B" w14:textId="77777777" w:rsidR="004A7134" w:rsidRDefault="004A7134" w:rsidP="00F23E7B">
            <w:pPr>
              <w:pStyle w:val="NoSpacing"/>
              <w:spacing w:line="360" w:lineRule="auto"/>
              <w:rPr>
                <w:rFonts w:cstheme="minorHAnsi"/>
              </w:rPr>
            </w:pPr>
            <w:r>
              <w:rPr>
                <w:rFonts w:cstheme="minorHAnsi"/>
              </w:rPr>
              <w:t>0 (0-2)</w:t>
            </w:r>
          </w:p>
        </w:tc>
        <w:tc>
          <w:tcPr>
            <w:tcW w:w="2390" w:type="dxa"/>
          </w:tcPr>
          <w:p w14:paraId="3E27AF81" w14:textId="3A3EE7C4" w:rsidR="004A7134" w:rsidRDefault="00827C44" w:rsidP="00F23E7B">
            <w:pPr>
              <w:pStyle w:val="NoSpacing"/>
              <w:spacing w:line="360" w:lineRule="auto"/>
              <w:rPr>
                <w:rFonts w:cstheme="minorHAnsi"/>
              </w:rPr>
            </w:pPr>
            <w:r>
              <w:rPr>
                <w:rFonts w:cstheme="minorHAnsi"/>
              </w:rPr>
              <w:t>0.52</w:t>
            </w:r>
          </w:p>
        </w:tc>
      </w:tr>
      <w:tr w:rsidR="004A7134" w:rsidRPr="00A81743" w14:paraId="711CD030" w14:textId="77777777" w:rsidTr="00874304">
        <w:trPr>
          <w:trHeight w:val="304"/>
        </w:trPr>
        <w:tc>
          <w:tcPr>
            <w:tcW w:w="2557" w:type="dxa"/>
          </w:tcPr>
          <w:p w14:paraId="65E2B540" w14:textId="77777777" w:rsidR="004A7134" w:rsidRDefault="004A7134" w:rsidP="00F23E7B">
            <w:pPr>
              <w:pStyle w:val="NoSpacing"/>
              <w:spacing w:line="360" w:lineRule="auto"/>
              <w:rPr>
                <w:rFonts w:cstheme="minorHAnsi"/>
              </w:rPr>
            </w:pPr>
            <w:r>
              <w:rPr>
                <w:rFonts w:cstheme="minorHAnsi"/>
              </w:rPr>
              <w:t xml:space="preserve">    Hour 2</w:t>
            </w:r>
          </w:p>
        </w:tc>
        <w:tc>
          <w:tcPr>
            <w:tcW w:w="2399" w:type="dxa"/>
          </w:tcPr>
          <w:p w14:paraId="4550565B" w14:textId="77777777" w:rsidR="004A7134" w:rsidRDefault="004A7134" w:rsidP="00F23E7B">
            <w:pPr>
              <w:pStyle w:val="NoSpacing"/>
              <w:spacing w:line="360" w:lineRule="auto"/>
              <w:rPr>
                <w:rFonts w:cstheme="minorHAnsi"/>
              </w:rPr>
            </w:pPr>
            <w:r>
              <w:rPr>
                <w:rFonts w:cstheme="minorHAnsi"/>
              </w:rPr>
              <w:t>0 (0-0)</w:t>
            </w:r>
          </w:p>
        </w:tc>
        <w:tc>
          <w:tcPr>
            <w:tcW w:w="2399" w:type="dxa"/>
          </w:tcPr>
          <w:p w14:paraId="360DAF6F" w14:textId="77777777" w:rsidR="004A7134" w:rsidRDefault="004A7134" w:rsidP="00F23E7B">
            <w:pPr>
              <w:pStyle w:val="NoSpacing"/>
              <w:spacing w:line="360" w:lineRule="auto"/>
              <w:rPr>
                <w:rFonts w:cstheme="minorHAnsi"/>
              </w:rPr>
            </w:pPr>
            <w:r>
              <w:rPr>
                <w:rFonts w:cstheme="minorHAnsi"/>
              </w:rPr>
              <w:t>0 (0-0)</w:t>
            </w:r>
          </w:p>
        </w:tc>
        <w:tc>
          <w:tcPr>
            <w:tcW w:w="2390" w:type="dxa"/>
          </w:tcPr>
          <w:p w14:paraId="46100F03" w14:textId="6D065423" w:rsidR="004A7134" w:rsidRDefault="00827C44" w:rsidP="00F23E7B">
            <w:pPr>
              <w:pStyle w:val="NoSpacing"/>
              <w:spacing w:line="360" w:lineRule="auto"/>
              <w:rPr>
                <w:rFonts w:cstheme="minorHAnsi"/>
              </w:rPr>
            </w:pPr>
            <w:r>
              <w:rPr>
                <w:rFonts w:cstheme="minorHAnsi"/>
              </w:rPr>
              <w:t>0.77</w:t>
            </w:r>
          </w:p>
        </w:tc>
      </w:tr>
      <w:tr w:rsidR="004A7134" w:rsidRPr="00A81743" w14:paraId="63F1DD21" w14:textId="77777777" w:rsidTr="00874304">
        <w:trPr>
          <w:trHeight w:val="304"/>
        </w:trPr>
        <w:tc>
          <w:tcPr>
            <w:tcW w:w="2557" w:type="dxa"/>
          </w:tcPr>
          <w:p w14:paraId="796BA311" w14:textId="77777777" w:rsidR="004A7134" w:rsidRDefault="004A7134" w:rsidP="00F23E7B">
            <w:pPr>
              <w:pStyle w:val="NoSpacing"/>
              <w:spacing w:line="360" w:lineRule="auto"/>
              <w:rPr>
                <w:rFonts w:cstheme="minorHAnsi"/>
              </w:rPr>
            </w:pPr>
            <w:r>
              <w:rPr>
                <w:rFonts w:cstheme="minorHAnsi"/>
              </w:rPr>
              <w:t xml:space="preserve">    Hour 3+</w:t>
            </w:r>
          </w:p>
        </w:tc>
        <w:tc>
          <w:tcPr>
            <w:tcW w:w="2399" w:type="dxa"/>
          </w:tcPr>
          <w:p w14:paraId="315BB717" w14:textId="77777777" w:rsidR="004A7134" w:rsidRDefault="004A7134" w:rsidP="00F23E7B">
            <w:pPr>
              <w:pStyle w:val="NoSpacing"/>
              <w:spacing w:line="360" w:lineRule="auto"/>
              <w:rPr>
                <w:rFonts w:cstheme="minorHAnsi"/>
              </w:rPr>
            </w:pPr>
            <w:r>
              <w:rPr>
                <w:rFonts w:cstheme="minorHAnsi"/>
              </w:rPr>
              <w:t>0 (0-0.75)</w:t>
            </w:r>
          </w:p>
        </w:tc>
        <w:tc>
          <w:tcPr>
            <w:tcW w:w="2399" w:type="dxa"/>
          </w:tcPr>
          <w:p w14:paraId="268BC732" w14:textId="77777777" w:rsidR="004A7134" w:rsidRDefault="004A7134" w:rsidP="00F23E7B">
            <w:pPr>
              <w:pStyle w:val="NoSpacing"/>
              <w:spacing w:line="360" w:lineRule="auto"/>
              <w:rPr>
                <w:rFonts w:cstheme="minorHAnsi"/>
              </w:rPr>
            </w:pPr>
            <w:r>
              <w:rPr>
                <w:rFonts w:cstheme="minorHAnsi"/>
              </w:rPr>
              <w:t>0 (0-0)</w:t>
            </w:r>
          </w:p>
        </w:tc>
        <w:tc>
          <w:tcPr>
            <w:tcW w:w="2390" w:type="dxa"/>
          </w:tcPr>
          <w:p w14:paraId="5B659AD6" w14:textId="16937378" w:rsidR="004A7134" w:rsidRDefault="00827C44" w:rsidP="00F23E7B">
            <w:pPr>
              <w:pStyle w:val="NoSpacing"/>
              <w:spacing w:line="360" w:lineRule="auto"/>
              <w:rPr>
                <w:rFonts w:cstheme="minorHAnsi"/>
              </w:rPr>
            </w:pPr>
            <w:r>
              <w:rPr>
                <w:rFonts w:cstheme="minorHAnsi"/>
              </w:rPr>
              <w:t>0.70</w:t>
            </w:r>
          </w:p>
        </w:tc>
      </w:tr>
      <w:tr w:rsidR="004A7134" w:rsidRPr="00A81743" w14:paraId="40DFF282" w14:textId="77777777" w:rsidTr="00874304">
        <w:trPr>
          <w:trHeight w:val="304"/>
        </w:trPr>
        <w:tc>
          <w:tcPr>
            <w:tcW w:w="2557" w:type="dxa"/>
          </w:tcPr>
          <w:p w14:paraId="50BD2F93" w14:textId="77777777" w:rsidR="004A7134" w:rsidRDefault="004A7134" w:rsidP="00F23E7B">
            <w:pPr>
              <w:pStyle w:val="NoSpacing"/>
              <w:spacing w:line="360" w:lineRule="auto"/>
              <w:rPr>
                <w:rFonts w:cstheme="minorHAnsi"/>
              </w:rPr>
            </w:pPr>
            <w:r>
              <w:rPr>
                <w:rFonts w:cstheme="minorHAnsi"/>
              </w:rPr>
              <w:t xml:space="preserve">    Total</w:t>
            </w:r>
          </w:p>
        </w:tc>
        <w:tc>
          <w:tcPr>
            <w:tcW w:w="2399" w:type="dxa"/>
          </w:tcPr>
          <w:p w14:paraId="04D70C86" w14:textId="77777777" w:rsidR="004A7134" w:rsidRDefault="004A7134" w:rsidP="00F23E7B">
            <w:pPr>
              <w:pStyle w:val="NoSpacing"/>
              <w:spacing w:line="360" w:lineRule="auto"/>
              <w:rPr>
                <w:rFonts w:cstheme="minorHAnsi"/>
              </w:rPr>
            </w:pPr>
            <w:r>
              <w:rPr>
                <w:rFonts w:cstheme="minorHAnsi"/>
              </w:rPr>
              <w:t>0 (0-4)</w:t>
            </w:r>
          </w:p>
        </w:tc>
        <w:tc>
          <w:tcPr>
            <w:tcW w:w="2399" w:type="dxa"/>
          </w:tcPr>
          <w:p w14:paraId="4908164B" w14:textId="77777777" w:rsidR="004A7134" w:rsidRDefault="004A7134" w:rsidP="00F23E7B">
            <w:pPr>
              <w:pStyle w:val="NoSpacing"/>
              <w:spacing w:line="360" w:lineRule="auto"/>
              <w:rPr>
                <w:rFonts w:cstheme="minorHAnsi"/>
              </w:rPr>
            </w:pPr>
            <w:r>
              <w:rPr>
                <w:rFonts w:cstheme="minorHAnsi"/>
              </w:rPr>
              <w:t>0 (0-4)</w:t>
            </w:r>
          </w:p>
        </w:tc>
        <w:tc>
          <w:tcPr>
            <w:tcW w:w="2390" w:type="dxa"/>
          </w:tcPr>
          <w:p w14:paraId="564C1C21" w14:textId="697BD870" w:rsidR="004A7134" w:rsidRDefault="00827C44" w:rsidP="00F23E7B">
            <w:pPr>
              <w:pStyle w:val="NoSpacing"/>
              <w:spacing w:line="360" w:lineRule="auto"/>
              <w:rPr>
                <w:rFonts w:cstheme="minorHAnsi"/>
              </w:rPr>
            </w:pPr>
            <w:r>
              <w:rPr>
                <w:rFonts w:cstheme="minorHAnsi"/>
              </w:rPr>
              <w:t>0.61</w:t>
            </w:r>
          </w:p>
        </w:tc>
      </w:tr>
    </w:tbl>
    <w:p w14:paraId="6A673ADE" w14:textId="77777777" w:rsidR="004A7134" w:rsidRPr="00073DD0" w:rsidRDefault="004A7134" w:rsidP="00F23E7B">
      <w:pPr>
        <w:spacing w:line="360" w:lineRule="auto"/>
        <w:rPr>
          <w:b/>
        </w:rPr>
      </w:pPr>
    </w:p>
    <w:p w14:paraId="154A4818" w14:textId="77777777" w:rsidR="004A7134" w:rsidRDefault="004A7134" w:rsidP="00F23E7B">
      <w:pPr>
        <w:spacing w:after="200" w:line="360" w:lineRule="auto"/>
        <w:rPr>
          <w:b/>
        </w:rPr>
      </w:pPr>
      <w:r>
        <w:rPr>
          <w:b/>
        </w:rPr>
        <w:br w:type="page"/>
      </w:r>
    </w:p>
    <w:p w14:paraId="5DBC7458" w14:textId="77777777" w:rsidR="004A7134" w:rsidRDefault="004A7134" w:rsidP="00F23E7B">
      <w:pPr>
        <w:spacing w:line="360" w:lineRule="auto"/>
        <w:rPr>
          <w:b/>
        </w:rPr>
      </w:pPr>
      <w:r w:rsidRPr="00073DD0">
        <w:rPr>
          <w:b/>
        </w:rPr>
        <w:lastRenderedPageBreak/>
        <w:t>Table 3: Summary of midazolam and propofol use before and during procedure</w:t>
      </w:r>
    </w:p>
    <w:p w14:paraId="21C83394" w14:textId="77777777" w:rsidR="004A7134" w:rsidRDefault="004A7134" w:rsidP="00F23E7B">
      <w:pPr>
        <w:spacing w:line="360" w:lineRule="auto"/>
      </w:pPr>
    </w:p>
    <w:tbl>
      <w:tblPr>
        <w:tblStyle w:val="TableGrid"/>
        <w:tblW w:w="9745" w:type="dxa"/>
        <w:tblCellMar>
          <w:top w:w="28" w:type="dxa"/>
          <w:bottom w:w="28" w:type="dxa"/>
        </w:tblCellMar>
        <w:tblLook w:val="04A0" w:firstRow="1" w:lastRow="0" w:firstColumn="1" w:lastColumn="0" w:noHBand="0" w:noVBand="1"/>
      </w:tblPr>
      <w:tblGrid>
        <w:gridCol w:w="2557"/>
        <w:gridCol w:w="2399"/>
        <w:gridCol w:w="2399"/>
        <w:gridCol w:w="2390"/>
      </w:tblGrid>
      <w:tr w:rsidR="00D53931" w:rsidRPr="00A81743" w14:paraId="07E3365E" w14:textId="77777777" w:rsidTr="00874304">
        <w:trPr>
          <w:trHeight w:val="304"/>
        </w:trPr>
        <w:tc>
          <w:tcPr>
            <w:tcW w:w="2557" w:type="dxa"/>
          </w:tcPr>
          <w:p w14:paraId="4ABAC58B" w14:textId="6D44FAC0" w:rsidR="00D53931" w:rsidRDefault="00D53931" w:rsidP="00F23E7B">
            <w:pPr>
              <w:pStyle w:val="NoSpacing"/>
              <w:spacing w:line="360" w:lineRule="auto"/>
              <w:rPr>
                <w:rFonts w:cstheme="minorHAnsi"/>
                <w:b/>
              </w:rPr>
            </w:pPr>
          </w:p>
        </w:tc>
        <w:tc>
          <w:tcPr>
            <w:tcW w:w="2399" w:type="dxa"/>
          </w:tcPr>
          <w:p w14:paraId="7A3932D2" w14:textId="18A0035B" w:rsidR="00D53931" w:rsidRPr="003E6B01" w:rsidRDefault="00D53931" w:rsidP="00F23E7B">
            <w:pPr>
              <w:pStyle w:val="NoSpacing"/>
              <w:spacing w:line="360" w:lineRule="auto"/>
              <w:rPr>
                <w:rFonts w:cstheme="minorHAnsi"/>
                <w:b/>
              </w:rPr>
            </w:pPr>
            <w:r>
              <w:rPr>
                <w:rFonts w:cstheme="minorHAnsi"/>
                <w:b/>
              </w:rPr>
              <w:t>Control</w:t>
            </w:r>
          </w:p>
        </w:tc>
        <w:tc>
          <w:tcPr>
            <w:tcW w:w="2399" w:type="dxa"/>
          </w:tcPr>
          <w:p w14:paraId="7F5F8D82" w14:textId="4C39CF70" w:rsidR="00D53931" w:rsidRPr="003E6B01" w:rsidRDefault="00D53931" w:rsidP="00F23E7B">
            <w:pPr>
              <w:pStyle w:val="NoSpacing"/>
              <w:spacing w:line="360" w:lineRule="auto"/>
              <w:rPr>
                <w:rFonts w:cstheme="minorHAnsi"/>
                <w:b/>
              </w:rPr>
            </w:pPr>
            <w:r>
              <w:rPr>
                <w:rFonts w:cstheme="minorHAnsi"/>
                <w:b/>
              </w:rPr>
              <w:t>IVR</w:t>
            </w:r>
          </w:p>
        </w:tc>
        <w:tc>
          <w:tcPr>
            <w:tcW w:w="2390" w:type="dxa"/>
          </w:tcPr>
          <w:p w14:paraId="0FC4B1BC" w14:textId="553855EB" w:rsidR="00D53931" w:rsidRPr="00A81743" w:rsidRDefault="00D53931" w:rsidP="00F23E7B">
            <w:pPr>
              <w:pStyle w:val="NoSpacing"/>
              <w:spacing w:line="360" w:lineRule="auto"/>
              <w:rPr>
                <w:rFonts w:cstheme="minorHAnsi"/>
              </w:rPr>
            </w:pPr>
            <w:r>
              <w:rPr>
                <w:rFonts w:cstheme="minorHAnsi"/>
                <w:b/>
              </w:rPr>
              <w:t>p</w:t>
            </w:r>
          </w:p>
        </w:tc>
      </w:tr>
      <w:tr w:rsidR="004A7134" w:rsidRPr="00A81743" w14:paraId="1DC68171" w14:textId="77777777" w:rsidTr="00874304">
        <w:trPr>
          <w:trHeight w:val="304"/>
        </w:trPr>
        <w:tc>
          <w:tcPr>
            <w:tcW w:w="2557" w:type="dxa"/>
          </w:tcPr>
          <w:p w14:paraId="186F85EA" w14:textId="77777777" w:rsidR="004A7134" w:rsidRPr="00A81743" w:rsidRDefault="004A7134" w:rsidP="00F23E7B">
            <w:pPr>
              <w:pStyle w:val="NoSpacing"/>
              <w:spacing w:line="360" w:lineRule="auto"/>
              <w:rPr>
                <w:rFonts w:cstheme="minorHAnsi"/>
                <w:b/>
              </w:rPr>
            </w:pPr>
            <w:r>
              <w:rPr>
                <w:rFonts w:cstheme="minorHAnsi"/>
                <w:b/>
              </w:rPr>
              <w:t>M</w:t>
            </w:r>
            <w:r w:rsidRPr="00A81743">
              <w:rPr>
                <w:rFonts w:cstheme="minorHAnsi"/>
                <w:b/>
              </w:rPr>
              <w:t>idazolam</w:t>
            </w:r>
          </w:p>
        </w:tc>
        <w:tc>
          <w:tcPr>
            <w:tcW w:w="2399" w:type="dxa"/>
          </w:tcPr>
          <w:p w14:paraId="097130FC" w14:textId="2C9A5CAD" w:rsidR="004A7134" w:rsidRPr="003E6B01" w:rsidRDefault="004A7134" w:rsidP="00382C86">
            <w:pPr>
              <w:pStyle w:val="NoSpacing"/>
              <w:spacing w:line="360" w:lineRule="auto"/>
              <w:rPr>
                <w:rFonts w:cstheme="minorHAnsi"/>
                <w:b/>
              </w:rPr>
            </w:pPr>
            <w:r w:rsidRPr="003E6B01">
              <w:rPr>
                <w:rFonts w:cstheme="minorHAnsi"/>
                <w:b/>
              </w:rPr>
              <w:t>Me</w:t>
            </w:r>
            <w:r w:rsidR="00382C86">
              <w:rPr>
                <w:rFonts w:cstheme="minorHAnsi"/>
                <w:b/>
              </w:rPr>
              <w:t>an dose mg (95% CI</w:t>
            </w:r>
            <w:r w:rsidRPr="003E6B01">
              <w:rPr>
                <w:rFonts w:cstheme="minorHAnsi"/>
                <w:b/>
              </w:rPr>
              <w:t>)</w:t>
            </w:r>
          </w:p>
        </w:tc>
        <w:tc>
          <w:tcPr>
            <w:tcW w:w="2399" w:type="dxa"/>
          </w:tcPr>
          <w:p w14:paraId="5670F841" w14:textId="096C2AA5" w:rsidR="004A7134" w:rsidRPr="003E6B01" w:rsidRDefault="004A7134" w:rsidP="00382C86">
            <w:pPr>
              <w:pStyle w:val="NoSpacing"/>
              <w:spacing w:line="360" w:lineRule="auto"/>
              <w:rPr>
                <w:rFonts w:cstheme="minorHAnsi"/>
                <w:b/>
              </w:rPr>
            </w:pPr>
            <w:r w:rsidRPr="003E6B01">
              <w:rPr>
                <w:rFonts w:cstheme="minorHAnsi"/>
                <w:b/>
              </w:rPr>
              <w:t>Me</w:t>
            </w:r>
            <w:r w:rsidR="00382C86">
              <w:rPr>
                <w:rFonts w:cstheme="minorHAnsi"/>
                <w:b/>
              </w:rPr>
              <w:t>an dose mg (95% CI</w:t>
            </w:r>
            <w:r w:rsidRPr="003E6B01">
              <w:rPr>
                <w:rFonts w:cstheme="minorHAnsi"/>
                <w:b/>
              </w:rPr>
              <w:t>)</w:t>
            </w:r>
          </w:p>
        </w:tc>
        <w:tc>
          <w:tcPr>
            <w:tcW w:w="2390" w:type="dxa"/>
          </w:tcPr>
          <w:p w14:paraId="46F0C51B" w14:textId="77777777" w:rsidR="004A7134" w:rsidRPr="00A81743" w:rsidRDefault="004A7134" w:rsidP="00F23E7B">
            <w:pPr>
              <w:pStyle w:val="NoSpacing"/>
              <w:spacing w:line="360" w:lineRule="auto"/>
              <w:rPr>
                <w:rFonts w:cstheme="minorHAnsi"/>
              </w:rPr>
            </w:pPr>
          </w:p>
        </w:tc>
      </w:tr>
      <w:tr w:rsidR="004A7134" w:rsidRPr="00A81743" w14:paraId="31935737" w14:textId="77777777" w:rsidTr="00874304">
        <w:trPr>
          <w:trHeight w:val="304"/>
        </w:trPr>
        <w:tc>
          <w:tcPr>
            <w:tcW w:w="2557" w:type="dxa"/>
          </w:tcPr>
          <w:p w14:paraId="63607D5A" w14:textId="77777777" w:rsidR="004A7134" w:rsidRPr="00A81743" w:rsidRDefault="004A7134" w:rsidP="00F23E7B">
            <w:pPr>
              <w:pStyle w:val="NoSpacing"/>
              <w:spacing w:line="360" w:lineRule="auto"/>
              <w:rPr>
                <w:rFonts w:cstheme="minorHAnsi"/>
              </w:rPr>
            </w:pPr>
            <w:r w:rsidRPr="00A81743">
              <w:rPr>
                <w:rFonts w:cstheme="minorHAnsi"/>
              </w:rPr>
              <w:t xml:space="preserve">    Pre-procedure</w:t>
            </w:r>
          </w:p>
        </w:tc>
        <w:tc>
          <w:tcPr>
            <w:tcW w:w="2399" w:type="dxa"/>
          </w:tcPr>
          <w:p w14:paraId="07B5D378" w14:textId="60B409BB" w:rsidR="004A7134" w:rsidRPr="00A81743" w:rsidRDefault="003A35E2" w:rsidP="003A35E2">
            <w:pPr>
              <w:pStyle w:val="NoSpacing"/>
              <w:spacing w:line="360" w:lineRule="auto"/>
              <w:rPr>
                <w:rFonts w:cstheme="minorHAnsi"/>
              </w:rPr>
            </w:pPr>
            <w:r>
              <w:rPr>
                <w:rFonts w:cstheme="minorHAnsi"/>
              </w:rPr>
              <w:t>1.8</w:t>
            </w:r>
            <w:r w:rsidR="004A7134">
              <w:rPr>
                <w:rFonts w:cstheme="minorHAnsi"/>
              </w:rPr>
              <w:t xml:space="preserve"> (</w:t>
            </w:r>
            <w:r>
              <w:rPr>
                <w:rFonts w:cstheme="minorHAnsi"/>
              </w:rPr>
              <w:t>1</w:t>
            </w:r>
            <w:r w:rsidR="004A7134">
              <w:rPr>
                <w:rFonts w:cstheme="minorHAnsi"/>
              </w:rPr>
              <w:t>.5</w:t>
            </w:r>
            <w:r>
              <w:rPr>
                <w:rFonts w:cstheme="minorHAnsi"/>
              </w:rPr>
              <w:t xml:space="preserve"> </w:t>
            </w:r>
            <w:r w:rsidR="004A7134">
              <w:rPr>
                <w:rFonts w:cstheme="minorHAnsi"/>
              </w:rPr>
              <w:t>-</w:t>
            </w:r>
            <w:r>
              <w:rPr>
                <w:rFonts w:cstheme="minorHAnsi"/>
              </w:rPr>
              <w:t xml:space="preserve"> </w:t>
            </w:r>
            <w:r w:rsidR="004A7134">
              <w:rPr>
                <w:rFonts w:cstheme="minorHAnsi"/>
              </w:rPr>
              <w:t>2.</w:t>
            </w:r>
            <w:r>
              <w:rPr>
                <w:rFonts w:cstheme="minorHAnsi"/>
              </w:rPr>
              <w:t>1</w:t>
            </w:r>
            <w:r w:rsidR="004A7134">
              <w:rPr>
                <w:rFonts w:cstheme="minorHAnsi"/>
              </w:rPr>
              <w:t>)</w:t>
            </w:r>
          </w:p>
        </w:tc>
        <w:tc>
          <w:tcPr>
            <w:tcW w:w="2399" w:type="dxa"/>
          </w:tcPr>
          <w:p w14:paraId="657E5A0A" w14:textId="3C6B0CD2" w:rsidR="004A7134" w:rsidRPr="00A81743" w:rsidRDefault="004A7134" w:rsidP="003A35E2">
            <w:pPr>
              <w:pStyle w:val="NoSpacing"/>
              <w:spacing w:line="360" w:lineRule="auto"/>
              <w:rPr>
                <w:rFonts w:cstheme="minorHAnsi"/>
              </w:rPr>
            </w:pPr>
            <w:r w:rsidRPr="00A81743">
              <w:rPr>
                <w:rFonts w:cstheme="minorHAnsi"/>
              </w:rPr>
              <w:t>2</w:t>
            </w:r>
            <w:r w:rsidR="003A35E2">
              <w:rPr>
                <w:rFonts w:cstheme="minorHAnsi"/>
              </w:rPr>
              <w:t>.4</w:t>
            </w:r>
            <w:r>
              <w:rPr>
                <w:rFonts w:cstheme="minorHAnsi"/>
              </w:rPr>
              <w:t xml:space="preserve"> (</w:t>
            </w:r>
            <w:r w:rsidR="003A35E2">
              <w:rPr>
                <w:rFonts w:cstheme="minorHAnsi"/>
              </w:rPr>
              <w:t>2.1 – 2.6</w:t>
            </w:r>
            <w:r>
              <w:rPr>
                <w:rFonts w:cstheme="minorHAnsi"/>
              </w:rPr>
              <w:t>)</w:t>
            </w:r>
          </w:p>
        </w:tc>
        <w:tc>
          <w:tcPr>
            <w:tcW w:w="2390" w:type="dxa"/>
          </w:tcPr>
          <w:p w14:paraId="3B511B5B" w14:textId="05E87F10" w:rsidR="004A7134" w:rsidRPr="00A81743" w:rsidRDefault="00827C44" w:rsidP="00F23E7B">
            <w:pPr>
              <w:pStyle w:val="NoSpacing"/>
              <w:spacing w:line="360" w:lineRule="auto"/>
              <w:rPr>
                <w:rFonts w:cstheme="minorHAnsi"/>
              </w:rPr>
            </w:pPr>
            <w:r>
              <w:rPr>
                <w:rFonts w:cstheme="minorHAnsi"/>
              </w:rPr>
              <w:t>0.13</w:t>
            </w:r>
          </w:p>
        </w:tc>
      </w:tr>
      <w:tr w:rsidR="004A7134" w:rsidRPr="00A81743" w14:paraId="1F1B97CF" w14:textId="77777777" w:rsidTr="00874304">
        <w:trPr>
          <w:trHeight w:val="304"/>
        </w:trPr>
        <w:tc>
          <w:tcPr>
            <w:tcW w:w="2557" w:type="dxa"/>
          </w:tcPr>
          <w:p w14:paraId="7C8594B2" w14:textId="77777777" w:rsidR="004A7134" w:rsidRPr="00A81743" w:rsidRDefault="004A7134" w:rsidP="00F23E7B">
            <w:pPr>
              <w:pStyle w:val="NoSpacing"/>
              <w:spacing w:line="360" w:lineRule="auto"/>
              <w:rPr>
                <w:rFonts w:cstheme="minorHAnsi"/>
              </w:rPr>
            </w:pPr>
            <w:r w:rsidRPr="00A81743">
              <w:rPr>
                <w:rFonts w:cstheme="minorHAnsi"/>
              </w:rPr>
              <w:t xml:space="preserve">    During procedure</w:t>
            </w:r>
          </w:p>
        </w:tc>
        <w:tc>
          <w:tcPr>
            <w:tcW w:w="2399" w:type="dxa"/>
          </w:tcPr>
          <w:p w14:paraId="2BA667F4" w14:textId="7BEBE889" w:rsidR="004A7134" w:rsidRPr="00A81743" w:rsidRDefault="004A7134" w:rsidP="00F23E7B">
            <w:pPr>
              <w:pStyle w:val="NoSpacing"/>
              <w:spacing w:line="360" w:lineRule="auto"/>
              <w:rPr>
                <w:rFonts w:cstheme="minorHAnsi"/>
              </w:rPr>
            </w:pPr>
            <w:r w:rsidRPr="00A81743">
              <w:rPr>
                <w:rFonts w:cstheme="minorHAnsi"/>
              </w:rPr>
              <w:t>0</w:t>
            </w:r>
            <w:r w:rsidR="003A35E2">
              <w:rPr>
                <w:rFonts w:cstheme="minorHAnsi"/>
              </w:rPr>
              <w:t>.1 (0 – 0.2</w:t>
            </w:r>
            <w:r>
              <w:rPr>
                <w:rFonts w:cstheme="minorHAnsi"/>
              </w:rPr>
              <w:t>)</w:t>
            </w:r>
          </w:p>
        </w:tc>
        <w:tc>
          <w:tcPr>
            <w:tcW w:w="2399" w:type="dxa"/>
          </w:tcPr>
          <w:p w14:paraId="29EEB5B6" w14:textId="2F6AF810" w:rsidR="004A7134" w:rsidRPr="00A81743" w:rsidRDefault="004A7134" w:rsidP="00F23E7B">
            <w:pPr>
              <w:pStyle w:val="NoSpacing"/>
              <w:spacing w:line="360" w:lineRule="auto"/>
              <w:rPr>
                <w:rFonts w:cstheme="minorHAnsi"/>
              </w:rPr>
            </w:pPr>
            <w:r w:rsidRPr="00A81743">
              <w:rPr>
                <w:rFonts w:cstheme="minorHAnsi"/>
              </w:rPr>
              <w:t>0</w:t>
            </w:r>
            <w:r w:rsidR="003A35E2">
              <w:rPr>
                <w:rFonts w:cstheme="minorHAnsi"/>
              </w:rPr>
              <w:t>.1</w:t>
            </w:r>
            <w:r>
              <w:rPr>
                <w:rFonts w:cstheme="minorHAnsi"/>
              </w:rPr>
              <w:t xml:space="preserve"> (0</w:t>
            </w:r>
            <w:r w:rsidR="003A35E2">
              <w:rPr>
                <w:rFonts w:cstheme="minorHAnsi"/>
              </w:rPr>
              <w:t xml:space="preserve"> – 0.2</w:t>
            </w:r>
            <w:r>
              <w:rPr>
                <w:rFonts w:cstheme="minorHAnsi"/>
              </w:rPr>
              <w:t>)</w:t>
            </w:r>
          </w:p>
        </w:tc>
        <w:tc>
          <w:tcPr>
            <w:tcW w:w="2390" w:type="dxa"/>
          </w:tcPr>
          <w:p w14:paraId="45BDD831" w14:textId="435F3B3D" w:rsidR="004A7134" w:rsidRPr="00A81743" w:rsidRDefault="00827C44" w:rsidP="00F23E7B">
            <w:pPr>
              <w:pStyle w:val="NoSpacing"/>
              <w:spacing w:line="360" w:lineRule="auto"/>
              <w:rPr>
                <w:rFonts w:cstheme="minorHAnsi"/>
              </w:rPr>
            </w:pPr>
            <w:r>
              <w:rPr>
                <w:rFonts w:cstheme="minorHAnsi"/>
              </w:rPr>
              <w:t>0.85</w:t>
            </w:r>
          </w:p>
        </w:tc>
      </w:tr>
      <w:tr w:rsidR="004A7134" w:rsidRPr="00A81743" w14:paraId="1EACEA43" w14:textId="77777777" w:rsidTr="00874304">
        <w:trPr>
          <w:trHeight w:val="304"/>
        </w:trPr>
        <w:tc>
          <w:tcPr>
            <w:tcW w:w="2557" w:type="dxa"/>
          </w:tcPr>
          <w:p w14:paraId="009BA909" w14:textId="77777777" w:rsidR="004A7134" w:rsidRPr="00A81743" w:rsidRDefault="004A7134" w:rsidP="00F23E7B">
            <w:pPr>
              <w:pStyle w:val="NoSpacing"/>
              <w:spacing w:line="360" w:lineRule="auto"/>
              <w:rPr>
                <w:rFonts w:cstheme="minorHAnsi"/>
              </w:rPr>
            </w:pPr>
            <w:r w:rsidRPr="00A81743">
              <w:rPr>
                <w:rFonts w:cstheme="minorHAnsi"/>
              </w:rPr>
              <w:t xml:space="preserve">    Total</w:t>
            </w:r>
          </w:p>
        </w:tc>
        <w:tc>
          <w:tcPr>
            <w:tcW w:w="2399" w:type="dxa"/>
          </w:tcPr>
          <w:p w14:paraId="6EB060A9" w14:textId="5C13824F" w:rsidR="004A7134" w:rsidRPr="00A81743" w:rsidRDefault="003A35E2" w:rsidP="00F23E7B">
            <w:pPr>
              <w:pStyle w:val="NoSpacing"/>
              <w:spacing w:line="360" w:lineRule="auto"/>
              <w:rPr>
                <w:rFonts w:cstheme="minorHAnsi"/>
              </w:rPr>
            </w:pPr>
            <w:r>
              <w:rPr>
                <w:rFonts w:cstheme="minorHAnsi"/>
              </w:rPr>
              <w:t>1.9 (1.6 – 2.2</w:t>
            </w:r>
            <w:r w:rsidR="004A7134">
              <w:rPr>
                <w:rFonts w:cstheme="minorHAnsi"/>
              </w:rPr>
              <w:t>)</w:t>
            </w:r>
          </w:p>
        </w:tc>
        <w:tc>
          <w:tcPr>
            <w:tcW w:w="2399" w:type="dxa"/>
          </w:tcPr>
          <w:p w14:paraId="7F791B8B" w14:textId="6BBBF360" w:rsidR="004A7134" w:rsidRPr="00A81743" w:rsidRDefault="004A7134" w:rsidP="00F23E7B">
            <w:pPr>
              <w:pStyle w:val="NoSpacing"/>
              <w:spacing w:line="360" w:lineRule="auto"/>
              <w:rPr>
                <w:rFonts w:cstheme="minorHAnsi"/>
              </w:rPr>
            </w:pPr>
            <w:r w:rsidRPr="00A81743">
              <w:rPr>
                <w:rFonts w:cstheme="minorHAnsi"/>
              </w:rPr>
              <w:t>2</w:t>
            </w:r>
            <w:r w:rsidR="003A35E2">
              <w:rPr>
                <w:rFonts w:cstheme="minorHAnsi"/>
              </w:rPr>
              <w:t>.4 (2.1 0 -2.7</w:t>
            </w:r>
            <w:r>
              <w:rPr>
                <w:rFonts w:cstheme="minorHAnsi"/>
              </w:rPr>
              <w:t>)</w:t>
            </w:r>
          </w:p>
        </w:tc>
        <w:tc>
          <w:tcPr>
            <w:tcW w:w="2390" w:type="dxa"/>
          </w:tcPr>
          <w:p w14:paraId="64229B4E" w14:textId="3770765E" w:rsidR="004A7134" w:rsidRPr="00A81743" w:rsidRDefault="00827C44" w:rsidP="00F23E7B">
            <w:pPr>
              <w:pStyle w:val="NoSpacing"/>
              <w:spacing w:line="360" w:lineRule="auto"/>
              <w:rPr>
                <w:rFonts w:cstheme="minorHAnsi"/>
              </w:rPr>
            </w:pPr>
            <w:r>
              <w:rPr>
                <w:rFonts w:cstheme="minorHAnsi"/>
              </w:rPr>
              <w:t>0.16</w:t>
            </w:r>
          </w:p>
        </w:tc>
      </w:tr>
      <w:tr w:rsidR="004A7134" w:rsidRPr="00A81743" w14:paraId="3787A656" w14:textId="77777777" w:rsidTr="00874304">
        <w:trPr>
          <w:trHeight w:val="304"/>
        </w:trPr>
        <w:tc>
          <w:tcPr>
            <w:tcW w:w="2557" w:type="dxa"/>
          </w:tcPr>
          <w:p w14:paraId="6AA3C788" w14:textId="77777777" w:rsidR="004A7134" w:rsidRPr="00A81743" w:rsidRDefault="004A7134" w:rsidP="00F23E7B">
            <w:pPr>
              <w:pStyle w:val="NoSpacing"/>
              <w:spacing w:line="360" w:lineRule="auto"/>
              <w:rPr>
                <w:rFonts w:cstheme="minorHAnsi"/>
                <w:b/>
              </w:rPr>
            </w:pPr>
            <w:r w:rsidRPr="00A81743">
              <w:rPr>
                <w:rFonts w:cstheme="minorHAnsi"/>
                <w:b/>
              </w:rPr>
              <w:t>Fentanyl</w:t>
            </w:r>
          </w:p>
        </w:tc>
        <w:tc>
          <w:tcPr>
            <w:tcW w:w="2399" w:type="dxa"/>
          </w:tcPr>
          <w:p w14:paraId="282A9947" w14:textId="02CB5AF0" w:rsidR="004A7134" w:rsidRPr="003E6B01" w:rsidRDefault="00382C86" w:rsidP="00F23E7B">
            <w:pPr>
              <w:pStyle w:val="NoSpacing"/>
              <w:spacing w:line="360" w:lineRule="auto"/>
              <w:rPr>
                <w:rFonts w:cstheme="minorHAnsi"/>
                <w:b/>
              </w:rPr>
            </w:pPr>
            <w:r>
              <w:rPr>
                <w:rFonts w:cstheme="minorHAnsi"/>
                <w:b/>
              </w:rPr>
              <w:t>Mean dose mcg (95% CI</w:t>
            </w:r>
            <w:r w:rsidR="004A7134" w:rsidRPr="003E6B01">
              <w:rPr>
                <w:rFonts w:cstheme="minorHAnsi"/>
                <w:b/>
              </w:rPr>
              <w:t>)</w:t>
            </w:r>
          </w:p>
        </w:tc>
        <w:tc>
          <w:tcPr>
            <w:tcW w:w="2399" w:type="dxa"/>
          </w:tcPr>
          <w:p w14:paraId="05470FB7" w14:textId="48D03EFD" w:rsidR="004A7134" w:rsidRPr="003E6B01" w:rsidRDefault="00382C86" w:rsidP="00F23E7B">
            <w:pPr>
              <w:pStyle w:val="NoSpacing"/>
              <w:spacing w:line="360" w:lineRule="auto"/>
              <w:jc w:val="both"/>
              <w:rPr>
                <w:rFonts w:cstheme="minorHAnsi"/>
                <w:b/>
              </w:rPr>
            </w:pPr>
            <w:r>
              <w:rPr>
                <w:rFonts w:cstheme="minorHAnsi"/>
                <w:b/>
              </w:rPr>
              <w:t>Mean dose mcg (95% CI</w:t>
            </w:r>
            <w:r w:rsidR="004A7134" w:rsidRPr="003E6B01">
              <w:rPr>
                <w:rFonts w:cstheme="minorHAnsi"/>
                <w:b/>
              </w:rPr>
              <w:t>)</w:t>
            </w:r>
          </w:p>
        </w:tc>
        <w:tc>
          <w:tcPr>
            <w:tcW w:w="2390" w:type="dxa"/>
          </w:tcPr>
          <w:p w14:paraId="12328792" w14:textId="77777777" w:rsidR="004A7134" w:rsidRDefault="004A7134" w:rsidP="00F23E7B">
            <w:pPr>
              <w:pStyle w:val="NoSpacing"/>
              <w:spacing w:line="360" w:lineRule="auto"/>
              <w:jc w:val="both"/>
              <w:rPr>
                <w:rFonts w:cstheme="minorHAnsi"/>
              </w:rPr>
            </w:pPr>
          </w:p>
        </w:tc>
      </w:tr>
      <w:tr w:rsidR="004A7134" w:rsidRPr="00A81743" w14:paraId="0B215AB3" w14:textId="77777777" w:rsidTr="00874304">
        <w:trPr>
          <w:trHeight w:val="304"/>
        </w:trPr>
        <w:tc>
          <w:tcPr>
            <w:tcW w:w="2557" w:type="dxa"/>
          </w:tcPr>
          <w:p w14:paraId="6A04F0DB" w14:textId="77777777" w:rsidR="004A7134" w:rsidRPr="00A81743" w:rsidRDefault="004A7134" w:rsidP="00F23E7B">
            <w:pPr>
              <w:pStyle w:val="NoSpacing"/>
              <w:spacing w:line="360" w:lineRule="auto"/>
              <w:rPr>
                <w:rFonts w:cstheme="minorHAnsi"/>
              </w:rPr>
            </w:pPr>
            <w:r w:rsidRPr="00A81743">
              <w:rPr>
                <w:rFonts w:cstheme="minorHAnsi"/>
              </w:rPr>
              <w:t xml:space="preserve">    Pre-procedure</w:t>
            </w:r>
          </w:p>
        </w:tc>
        <w:tc>
          <w:tcPr>
            <w:tcW w:w="2399" w:type="dxa"/>
          </w:tcPr>
          <w:p w14:paraId="5A98E390" w14:textId="748BCB81" w:rsidR="004A7134" w:rsidRPr="00A81743" w:rsidRDefault="00382C86" w:rsidP="00382C86">
            <w:pPr>
              <w:pStyle w:val="NoSpacing"/>
              <w:spacing w:line="360" w:lineRule="auto"/>
              <w:rPr>
                <w:rFonts w:cstheme="minorHAnsi"/>
              </w:rPr>
            </w:pPr>
            <w:r>
              <w:rPr>
                <w:rFonts w:cstheme="minorHAnsi"/>
              </w:rPr>
              <w:t>22 (16.2 – 28.4)</w:t>
            </w:r>
          </w:p>
        </w:tc>
        <w:tc>
          <w:tcPr>
            <w:tcW w:w="2399" w:type="dxa"/>
          </w:tcPr>
          <w:p w14:paraId="365EFBA2" w14:textId="5B5DC9EA" w:rsidR="004A7134" w:rsidRPr="00A81743" w:rsidRDefault="00382C86" w:rsidP="00382C86">
            <w:pPr>
              <w:pStyle w:val="NoSpacing"/>
              <w:spacing w:line="360" w:lineRule="auto"/>
              <w:rPr>
                <w:rFonts w:cstheme="minorHAnsi"/>
              </w:rPr>
            </w:pPr>
            <w:r>
              <w:rPr>
                <w:rFonts w:cstheme="minorHAnsi"/>
              </w:rPr>
              <w:t>32</w:t>
            </w:r>
            <w:r w:rsidR="004A7134">
              <w:rPr>
                <w:rFonts w:cstheme="minorHAnsi"/>
              </w:rPr>
              <w:t xml:space="preserve"> (</w:t>
            </w:r>
            <w:r>
              <w:rPr>
                <w:rFonts w:cstheme="minorHAnsi"/>
              </w:rPr>
              <w:t>25 – 39)</w:t>
            </w:r>
          </w:p>
        </w:tc>
        <w:tc>
          <w:tcPr>
            <w:tcW w:w="2390" w:type="dxa"/>
          </w:tcPr>
          <w:p w14:paraId="74E8340A" w14:textId="7079BA81" w:rsidR="004A7134" w:rsidRPr="00A81743" w:rsidRDefault="00827C44" w:rsidP="00F23E7B">
            <w:pPr>
              <w:pStyle w:val="NoSpacing"/>
              <w:spacing w:line="360" w:lineRule="auto"/>
              <w:rPr>
                <w:rFonts w:cstheme="minorHAnsi"/>
              </w:rPr>
            </w:pPr>
            <w:r>
              <w:rPr>
                <w:rFonts w:cstheme="minorHAnsi"/>
              </w:rPr>
              <w:t>0.31</w:t>
            </w:r>
          </w:p>
        </w:tc>
      </w:tr>
      <w:tr w:rsidR="00382C86" w:rsidRPr="00A81743" w14:paraId="67EF7EE7" w14:textId="77777777" w:rsidTr="00874304">
        <w:trPr>
          <w:trHeight w:val="304"/>
        </w:trPr>
        <w:tc>
          <w:tcPr>
            <w:tcW w:w="2557" w:type="dxa"/>
          </w:tcPr>
          <w:p w14:paraId="19A12A45" w14:textId="77777777" w:rsidR="00382C86" w:rsidRPr="00A81743" w:rsidRDefault="00382C86" w:rsidP="00F23E7B">
            <w:pPr>
              <w:pStyle w:val="NoSpacing"/>
              <w:spacing w:line="360" w:lineRule="auto"/>
              <w:rPr>
                <w:rFonts w:cstheme="minorHAnsi"/>
              </w:rPr>
            </w:pPr>
            <w:r w:rsidRPr="00A81743">
              <w:rPr>
                <w:rFonts w:cstheme="minorHAnsi"/>
              </w:rPr>
              <w:t xml:space="preserve">    During procedure</w:t>
            </w:r>
          </w:p>
        </w:tc>
        <w:tc>
          <w:tcPr>
            <w:tcW w:w="2399" w:type="dxa"/>
          </w:tcPr>
          <w:p w14:paraId="56DF571B" w14:textId="3D216868" w:rsidR="00382C86" w:rsidRPr="00A81743" w:rsidRDefault="00382C86" w:rsidP="00F23E7B">
            <w:pPr>
              <w:pStyle w:val="NoSpacing"/>
              <w:spacing w:line="360" w:lineRule="auto"/>
              <w:rPr>
                <w:rFonts w:cstheme="minorHAnsi"/>
              </w:rPr>
            </w:pPr>
            <w:r>
              <w:rPr>
                <w:rFonts w:cstheme="minorHAnsi"/>
              </w:rPr>
              <w:t>1 (0-2)</w:t>
            </w:r>
          </w:p>
        </w:tc>
        <w:tc>
          <w:tcPr>
            <w:tcW w:w="2399" w:type="dxa"/>
          </w:tcPr>
          <w:p w14:paraId="511D8FEF" w14:textId="6C0A168C" w:rsidR="00382C86" w:rsidRPr="00A81743" w:rsidRDefault="00382C86" w:rsidP="00F23E7B">
            <w:pPr>
              <w:pStyle w:val="NoSpacing"/>
              <w:spacing w:line="360" w:lineRule="auto"/>
              <w:rPr>
                <w:rFonts w:cstheme="minorHAnsi"/>
              </w:rPr>
            </w:pPr>
            <w:r>
              <w:rPr>
                <w:rFonts w:cstheme="minorHAnsi"/>
              </w:rPr>
              <w:t>9 (4.5 – 13.5)</w:t>
            </w:r>
          </w:p>
        </w:tc>
        <w:tc>
          <w:tcPr>
            <w:tcW w:w="2390" w:type="dxa"/>
          </w:tcPr>
          <w:p w14:paraId="76279797" w14:textId="08F4D636" w:rsidR="00382C86" w:rsidRPr="00A81743" w:rsidRDefault="00827C44" w:rsidP="00F23E7B">
            <w:pPr>
              <w:pStyle w:val="NoSpacing"/>
              <w:spacing w:line="360" w:lineRule="auto"/>
              <w:rPr>
                <w:rFonts w:cstheme="minorHAnsi"/>
              </w:rPr>
            </w:pPr>
            <w:r>
              <w:rPr>
                <w:rFonts w:cstheme="minorHAnsi"/>
              </w:rPr>
              <w:t>0</w:t>
            </w:r>
            <w:r w:rsidR="00382C86">
              <w:rPr>
                <w:rFonts w:cstheme="minorHAnsi"/>
              </w:rPr>
              <w:t>.09</w:t>
            </w:r>
          </w:p>
        </w:tc>
      </w:tr>
      <w:tr w:rsidR="004A7134" w:rsidRPr="00A81743" w14:paraId="5C307893" w14:textId="77777777" w:rsidTr="00874304">
        <w:trPr>
          <w:trHeight w:val="304"/>
        </w:trPr>
        <w:tc>
          <w:tcPr>
            <w:tcW w:w="2557" w:type="dxa"/>
          </w:tcPr>
          <w:p w14:paraId="69E45848" w14:textId="77777777" w:rsidR="004A7134" w:rsidRPr="00A81743" w:rsidRDefault="004A7134" w:rsidP="00F23E7B">
            <w:pPr>
              <w:pStyle w:val="NoSpacing"/>
              <w:spacing w:line="360" w:lineRule="auto"/>
              <w:rPr>
                <w:rFonts w:cstheme="minorHAnsi"/>
              </w:rPr>
            </w:pPr>
            <w:r w:rsidRPr="00A81743">
              <w:rPr>
                <w:rFonts w:cstheme="minorHAnsi"/>
              </w:rPr>
              <w:t xml:space="preserve">    Total</w:t>
            </w:r>
          </w:p>
        </w:tc>
        <w:tc>
          <w:tcPr>
            <w:tcW w:w="2399" w:type="dxa"/>
          </w:tcPr>
          <w:p w14:paraId="781B9F5D" w14:textId="515EAB4F" w:rsidR="004A7134" w:rsidRPr="00A81743" w:rsidRDefault="00231CCD" w:rsidP="003A35E2">
            <w:pPr>
              <w:pStyle w:val="NoSpacing"/>
              <w:spacing w:line="360" w:lineRule="auto"/>
              <w:rPr>
                <w:rFonts w:cstheme="minorHAnsi"/>
              </w:rPr>
            </w:pPr>
            <w:r>
              <w:rPr>
                <w:rFonts w:cstheme="minorHAnsi"/>
              </w:rPr>
              <w:t>23</w:t>
            </w:r>
            <w:r w:rsidR="003A35E2">
              <w:rPr>
                <w:rFonts w:cstheme="minorHAnsi"/>
              </w:rPr>
              <w:t>.2 (16.8 – 29.7</w:t>
            </w:r>
            <w:r w:rsidR="004A7134">
              <w:rPr>
                <w:rFonts w:cstheme="minorHAnsi"/>
              </w:rPr>
              <w:t>)</w:t>
            </w:r>
          </w:p>
        </w:tc>
        <w:tc>
          <w:tcPr>
            <w:tcW w:w="2399" w:type="dxa"/>
          </w:tcPr>
          <w:p w14:paraId="56BDB17D" w14:textId="1AF6F069" w:rsidR="004A7134" w:rsidRPr="00A81743" w:rsidRDefault="00231CCD" w:rsidP="00F23E7B">
            <w:pPr>
              <w:pStyle w:val="NoSpacing"/>
              <w:spacing w:line="360" w:lineRule="auto"/>
              <w:rPr>
                <w:rFonts w:cstheme="minorHAnsi"/>
              </w:rPr>
            </w:pPr>
            <w:r>
              <w:rPr>
                <w:rFonts w:cstheme="minorHAnsi"/>
              </w:rPr>
              <w:t>41</w:t>
            </w:r>
            <w:r w:rsidR="004A7134">
              <w:rPr>
                <w:rFonts w:cstheme="minorHAnsi"/>
              </w:rPr>
              <w:t xml:space="preserve"> (0-62.5)</w:t>
            </w:r>
          </w:p>
        </w:tc>
        <w:tc>
          <w:tcPr>
            <w:tcW w:w="2390" w:type="dxa"/>
          </w:tcPr>
          <w:p w14:paraId="464EE83E" w14:textId="33CA85F2" w:rsidR="004A7134" w:rsidRPr="00A81743" w:rsidRDefault="00827C44" w:rsidP="00F23E7B">
            <w:pPr>
              <w:pStyle w:val="NoSpacing"/>
              <w:spacing w:line="360" w:lineRule="auto"/>
              <w:rPr>
                <w:rFonts w:cstheme="minorHAnsi"/>
              </w:rPr>
            </w:pPr>
            <w:r>
              <w:rPr>
                <w:rFonts w:cstheme="minorHAnsi"/>
              </w:rPr>
              <w:t>0</w:t>
            </w:r>
            <w:r w:rsidR="003A35E2">
              <w:rPr>
                <w:rFonts w:cstheme="minorHAnsi"/>
              </w:rPr>
              <w:t>.07</w:t>
            </w:r>
          </w:p>
        </w:tc>
      </w:tr>
    </w:tbl>
    <w:p w14:paraId="4A8E8860" w14:textId="77777777" w:rsidR="004A7134" w:rsidRDefault="004A7134" w:rsidP="00F23E7B">
      <w:pPr>
        <w:spacing w:line="360" w:lineRule="auto"/>
      </w:pPr>
    </w:p>
    <w:p w14:paraId="5912B712" w14:textId="77777777" w:rsidR="004A7134" w:rsidRPr="008478B7" w:rsidRDefault="004A7134" w:rsidP="00F23E7B">
      <w:pPr>
        <w:spacing w:line="360" w:lineRule="auto"/>
        <w:rPr>
          <w:b/>
        </w:rPr>
      </w:pPr>
    </w:p>
    <w:p w14:paraId="6F74E05C" w14:textId="77777777" w:rsidR="00DA0939" w:rsidRDefault="00DA0939" w:rsidP="00F23E7B">
      <w:pPr>
        <w:spacing w:line="360" w:lineRule="auto"/>
      </w:pPr>
      <w:r>
        <w:br w:type="page"/>
      </w:r>
    </w:p>
    <w:p w14:paraId="27A9A4D9" w14:textId="77777777" w:rsidR="00C40F3D" w:rsidRDefault="00C40F3D" w:rsidP="00F23E7B">
      <w:pPr>
        <w:spacing w:line="360" w:lineRule="auto"/>
      </w:pPr>
    </w:p>
    <w:p w14:paraId="659991E4" w14:textId="77777777" w:rsidR="00C40F3D" w:rsidRDefault="00C40F3D" w:rsidP="00F23E7B">
      <w:pPr>
        <w:spacing w:line="360" w:lineRule="auto"/>
      </w:pPr>
    </w:p>
    <w:p w14:paraId="2B2374A0" w14:textId="09FF52C6" w:rsidR="007C5BB2" w:rsidRPr="00A81743" w:rsidRDefault="007C5BB2" w:rsidP="00F23E7B">
      <w:pPr>
        <w:pStyle w:val="NoSpacing"/>
        <w:spacing w:line="360" w:lineRule="auto"/>
        <w:rPr>
          <w:rFonts w:eastAsia="PMingLiU" w:cstheme="minorHAnsi"/>
          <w:b/>
          <w:lang w:eastAsia="zh-HK"/>
        </w:rPr>
      </w:pPr>
      <w:r w:rsidRPr="00A81743">
        <w:rPr>
          <w:rFonts w:eastAsia="PMingLiU" w:cstheme="minorHAnsi"/>
          <w:b/>
          <w:lang w:eastAsia="zh-HK"/>
        </w:rPr>
        <w:t xml:space="preserve">Table </w:t>
      </w:r>
      <w:r w:rsidR="004A7134">
        <w:rPr>
          <w:rFonts w:eastAsia="PMingLiU" w:cstheme="minorHAnsi"/>
          <w:b/>
          <w:lang w:eastAsia="zh-HK"/>
        </w:rPr>
        <w:t>4</w:t>
      </w:r>
      <w:r w:rsidRPr="00A81743">
        <w:rPr>
          <w:rFonts w:eastAsia="PMingLiU" w:cstheme="minorHAnsi"/>
          <w:b/>
          <w:lang w:eastAsia="zh-HK"/>
        </w:rPr>
        <w:t>: Variables independently associated with total propofol use</w:t>
      </w:r>
    </w:p>
    <w:p w14:paraId="0A3DDCB2" w14:textId="77777777" w:rsidR="007C5BB2" w:rsidRPr="00A81743" w:rsidRDefault="007C5BB2" w:rsidP="00F23E7B">
      <w:pPr>
        <w:pStyle w:val="NoSpacing"/>
        <w:spacing w:line="360" w:lineRule="auto"/>
        <w:rPr>
          <w:rFonts w:eastAsia="PMingLiU" w:cstheme="minorHAnsi"/>
          <w:lang w:eastAsia="zh-HK"/>
        </w:rPr>
      </w:pPr>
    </w:p>
    <w:tbl>
      <w:tblPr>
        <w:tblStyle w:val="TableGrid"/>
        <w:tblW w:w="0" w:type="auto"/>
        <w:tblLook w:val="04A0" w:firstRow="1" w:lastRow="0" w:firstColumn="1" w:lastColumn="0" w:noHBand="0" w:noVBand="1"/>
      </w:tblPr>
      <w:tblGrid>
        <w:gridCol w:w="3502"/>
        <w:gridCol w:w="3472"/>
        <w:gridCol w:w="3446"/>
      </w:tblGrid>
      <w:tr w:rsidR="007C5BB2" w:rsidRPr="00A81743" w14:paraId="215DFD0A" w14:textId="77777777" w:rsidTr="007F55DC">
        <w:trPr>
          <w:trHeight w:val="255"/>
        </w:trPr>
        <w:tc>
          <w:tcPr>
            <w:tcW w:w="3560" w:type="dxa"/>
            <w:vAlign w:val="center"/>
          </w:tcPr>
          <w:p w14:paraId="02483F7B" w14:textId="77777777" w:rsidR="007C5BB2" w:rsidRPr="00A81743" w:rsidRDefault="007C5BB2" w:rsidP="00F23E7B">
            <w:pPr>
              <w:pStyle w:val="NoSpacing"/>
              <w:spacing w:line="360" w:lineRule="auto"/>
              <w:rPr>
                <w:rFonts w:eastAsia="PMingLiU" w:cstheme="minorHAnsi"/>
                <w:b/>
                <w:lang w:eastAsia="zh-HK"/>
              </w:rPr>
            </w:pPr>
          </w:p>
        </w:tc>
        <w:tc>
          <w:tcPr>
            <w:tcW w:w="3561" w:type="dxa"/>
            <w:vAlign w:val="center"/>
          </w:tcPr>
          <w:p w14:paraId="28B8089C" w14:textId="77777777" w:rsidR="007C5BB2" w:rsidRPr="00A81743" w:rsidRDefault="007C5BB2" w:rsidP="00F23E7B">
            <w:pPr>
              <w:pStyle w:val="NoSpacing"/>
              <w:spacing w:line="360" w:lineRule="auto"/>
              <w:rPr>
                <w:rFonts w:eastAsia="PMingLiU" w:cstheme="minorHAnsi"/>
                <w:b/>
                <w:lang w:eastAsia="zh-HK"/>
              </w:rPr>
            </w:pPr>
            <w:r w:rsidRPr="00A81743">
              <w:rPr>
                <w:rFonts w:eastAsia="PMingLiU" w:cstheme="minorHAnsi"/>
                <w:b/>
                <w:lang w:eastAsia="zh-HK"/>
              </w:rPr>
              <w:t>Association</w:t>
            </w:r>
          </w:p>
        </w:tc>
        <w:tc>
          <w:tcPr>
            <w:tcW w:w="3561" w:type="dxa"/>
            <w:vAlign w:val="center"/>
          </w:tcPr>
          <w:p w14:paraId="372F019F" w14:textId="77777777" w:rsidR="007C5BB2" w:rsidRPr="00A81743" w:rsidRDefault="007C5BB2" w:rsidP="00F23E7B">
            <w:pPr>
              <w:pStyle w:val="NoSpacing"/>
              <w:spacing w:line="360" w:lineRule="auto"/>
              <w:rPr>
                <w:rFonts w:eastAsia="PMingLiU" w:cstheme="minorHAnsi"/>
                <w:b/>
                <w:lang w:eastAsia="zh-HK"/>
              </w:rPr>
            </w:pPr>
            <w:r w:rsidRPr="00A81743">
              <w:rPr>
                <w:rFonts w:eastAsia="PMingLiU" w:cstheme="minorHAnsi"/>
                <w:b/>
                <w:lang w:eastAsia="zh-HK"/>
              </w:rPr>
              <w:t>p</w:t>
            </w:r>
          </w:p>
        </w:tc>
      </w:tr>
      <w:tr w:rsidR="007C5BB2" w:rsidRPr="00A81743" w14:paraId="14E6A6A4" w14:textId="77777777" w:rsidTr="007F55DC">
        <w:trPr>
          <w:trHeight w:val="255"/>
        </w:trPr>
        <w:tc>
          <w:tcPr>
            <w:tcW w:w="3560" w:type="dxa"/>
            <w:vAlign w:val="center"/>
          </w:tcPr>
          <w:p w14:paraId="2DC13F07" w14:textId="77777777" w:rsidR="007C5BB2" w:rsidRPr="00A81743" w:rsidRDefault="007C5BB2" w:rsidP="00F23E7B">
            <w:pPr>
              <w:pStyle w:val="NoSpacing"/>
              <w:tabs>
                <w:tab w:val="left" w:pos="2640"/>
              </w:tabs>
              <w:spacing w:line="360" w:lineRule="auto"/>
              <w:rPr>
                <w:rFonts w:eastAsia="PMingLiU" w:cstheme="minorHAnsi"/>
                <w:b/>
                <w:lang w:eastAsia="zh-HK"/>
              </w:rPr>
            </w:pPr>
            <w:r w:rsidRPr="00A81743">
              <w:rPr>
                <w:rFonts w:eastAsia="PMingLiU" w:cstheme="minorHAnsi"/>
                <w:b/>
                <w:lang w:eastAsia="zh-HK"/>
              </w:rPr>
              <w:t>Weight*</w:t>
            </w:r>
            <w:r w:rsidRPr="00A81743">
              <w:rPr>
                <w:rFonts w:eastAsia="PMingLiU" w:cstheme="minorHAnsi"/>
                <w:b/>
                <w:lang w:eastAsia="zh-HK"/>
              </w:rPr>
              <w:tab/>
            </w:r>
          </w:p>
        </w:tc>
        <w:tc>
          <w:tcPr>
            <w:tcW w:w="3561" w:type="dxa"/>
            <w:vAlign w:val="center"/>
          </w:tcPr>
          <w:p w14:paraId="699BB393" w14:textId="77777777" w:rsidR="007C5BB2" w:rsidRPr="00A81743" w:rsidRDefault="007C5BB2" w:rsidP="00F23E7B">
            <w:pPr>
              <w:pStyle w:val="NoSpacing"/>
              <w:spacing w:line="360" w:lineRule="auto"/>
              <w:rPr>
                <w:rFonts w:eastAsia="PMingLiU" w:cstheme="minorHAnsi"/>
                <w:lang w:eastAsia="zh-HK"/>
              </w:rPr>
            </w:pPr>
            <w:r w:rsidRPr="00A81743">
              <w:rPr>
                <w:rFonts w:eastAsia="PMingLiU" w:cstheme="minorHAnsi"/>
                <w:lang w:eastAsia="zh-HK"/>
              </w:rPr>
              <w:t>0.267</w:t>
            </w:r>
          </w:p>
        </w:tc>
        <w:tc>
          <w:tcPr>
            <w:tcW w:w="3561" w:type="dxa"/>
            <w:vAlign w:val="center"/>
          </w:tcPr>
          <w:p w14:paraId="15450BE9" w14:textId="306B8950" w:rsidR="007C5BB2" w:rsidRPr="00A81743" w:rsidRDefault="00827C44" w:rsidP="00F23E7B">
            <w:pPr>
              <w:pStyle w:val="NoSpacing"/>
              <w:spacing w:line="360" w:lineRule="auto"/>
              <w:rPr>
                <w:rFonts w:eastAsia="PMingLiU" w:cstheme="minorHAnsi"/>
                <w:lang w:eastAsia="zh-HK"/>
              </w:rPr>
            </w:pPr>
            <w:r>
              <w:rPr>
                <w:rFonts w:eastAsia="PMingLiU" w:cstheme="minorHAnsi"/>
                <w:lang w:eastAsia="zh-HK"/>
              </w:rPr>
              <w:t>0.06</w:t>
            </w:r>
          </w:p>
        </w:tc>
      </w:tr>
      <w:tr w:rsidR="007C5BB2" w:rsidRPr="00A81743" w14:paraId="5EFCE5DE" w14:textId="77777777" w:rsidTr="007F55DC">
        <w:trPr>
          <w:trHeight w:val="255"/>
        </w:trPr>
        <w:tc>
          <w:tcPr>
            <w:tcW w:w="3560" w:type="dxa"/>
            <w:vAlign w:val="center"/>
          </w:tcPr>
          <w:p w14:paraId="6F938F82" w14:textId="77777777" w:rsidR="007C5BB2" w:rsidRPr="00A81743" w:rsidRDefault="007C5BB2" w:rsidP="00F23E7B">
            <w:pPr>
              <w:pStyle w:val="NoSpacing"/>
              <w:spacing w:line="360" w:lineRule="auto"/>
              <w:rPr>
                <w:rFonts w:eastAsia="PMingLiU" w:cstheme="minorHAnsi"/>
                <w:b/>
                <w:lang w:eastAsia="zh-HK"/>
              </w:rPr>
            </w:pPr>
            <w:r w:rsidRPr="00A81743">
              <w:rPr>
                <w:rFonts w:eastAsia="PMingLiU" w:cstheme="minorHAnsi"/>
                <w:b/>
                <w:lang w:eastAsia="zh-HK"/>
              </w:rPr>
              <w:t>BMI*</w:t>
            </w:r>
          </w:p>
        </w:tc>
        <w:tc>
          <w:tcPr>
            <w:tcW w:w="3561" w:type="dxa"/>
            <w:vAlign w:val="center"/>
          </w:tcPr>
          <w:p w14:paraId="0AF55555" w14:textId="77777777" w:rsidR="007C5BB2" w:rsidRPr="00A81743" w:rsidRDefault="007C5BB2" w:rsidP="00F23E7B">
            <w:pPr>
              <w:pStyle w:val="NoSpacing"/>
              <w:spacing w:line="360" w:lineRule="auto"/>
              <w:rPr>
                <w:rFonts w:eastAsia="PMingLiU" w:cstheme="minorHAnsi"/>
                <w:lang w:eastAsia="zh-HK"/>
              </w:rPr>
            </w:pPr>
            <w:r w:rsidRPr="00A81743">
              <w:rPr>
                <w:rFonts w:eastAsia="PMingLiU" w:cstheme="minorHAnsi"/>
                <w:lang w:eastAsia="zh-HK"/>
              </w:rPr>
              <w:t>0.295</w:t>
            </w:r>
          </w:p>
        </w:tc>
        <w:tc>
          <w:tcPr>
            <w:tcW w:w="3561" w:type="dxa"/>
            <w:vAlign w:val="center"/>
          </w:tcPr>
          <w:p w14:paraId="00D74EF6" w14:textId="33EA4CF9" w:rsidR="007C5BB2" w:rsidRPr="00A81743" w:rsidRDefault="00827C44" w:rsidP="00F23E7B">
            <w:pPr>
              <w:pStyle w:val="NoSpacing"/>
              <w:spacing w:line="360" w:lineRule="auto"/>
              <w:rPr>
                <w:rFonts w:eastAsia="PMingLiU" w:cstheme="minorHAnsi"/>
                <w:lang w:eastAsia="zh-HK"/>
              </w:rPr>
            </w:pPr>
            <w:r>
              <w:rPr>
                <w:rFonts w:eastAsia="PMingLiU" w:cstheme="minorHAnsi"/>
                <w:lang w:eastAsia="zh-HK"/>
              </w:rPr>
              <w:t>0.04</w:t>
            </w:r>
          </w:p>
        </w:tc>
      </w:tr>
      <w:tr w:rsidR="007C5BB2" w:rsidRPr="00A81743" w14:paraId="06980685" w14:textId="77777777" w:rsidTr="007F55DC">
        <w:trPr>
          <w:trHeight w:val="255"/>
        </w:trPr>
        <w:tc>
          <w:tcPr>
            <w:tcW w:w="3560" w:type="dxa"/>
            <w:vAlign w:val="center"/>
          </w:tcPr>
          <w:p w14:paraId="270B5FD3" w14:textId="77777777" w:rsidR="007C5BB2" w:rsidRPr="00A81743" w:rsidRDefault="007C5BB2" w:rsidP="00F23E7B">
            <w:pPr>
              <w:pStyle w:val="NoSpacing"/>
              <w:spacing w:line="360" w:lineRule="auto"/>
              <w:rPr>
                <w:rFonts w:eastAsia="PMingLiU" w:cstheme="minorHAnsi"/>
                <w:b/>
                <w:lang w:eastAsia="zh-HK"/>
              </w:rPr>
            </w:pPr>
            <w:r w:rsidRPr="00A81743">
              <w:rPr>
                <w:rFonts w:eastAsia="PMingLiU" w:cstheme="minorHAnsi"/>
                <w:b/>
                <w:lang w:eastAsia="zh-HK"/>
              </w:rPr>
              <w:t>Intra-operative fentanyl*</w:t>
            </w:r>
          </w:p>
        </w:tc>
        <w:tc>
          <w:tcPr>
            <w:tcW w:w="3561" w:type="dxa"/>
            <w:vAlign w:val="center"/>
          </w:tcPr>
          <w:p w14:paraId="7A67EF5A" w14:textId="77777777" w:rsidR="007C5BB2" w:rsidRPr="00A81743" w:rsidRDefault="007C5BB2" w:rsidP="00F23E7B">
            <w:pPr>
              <w:pStyle w:val="NoSpacing"/>
              <w:spacing w:line="360" w:lineRule="auto"/>
              <w:rPr>
                <w:rFonts w:eastAsia="PMingLiU" w:cstheme="minorHAnsi"/>
                <w:lang w:eastAsia="zh-HK"/>
              </w:rPr>
            </w:pPr>
            <w:r w:rsidRPr="00A81743">
              <w:rPr>
                <w:rFonts w:eastAsia="PMingLiU" w:cstheme="minorHAnsi"/>
                <w:lang w:eastAsia="zh-HK"/>
              </w:rPr>
              <w:t>0.261</w:t>
            </w:r>
          </w:p>
        </w:tc>
        <w:tc>
          <w:tcPr>
            <w:tcW w:w="3561" w:type="dxa"/>
            <w:vAlign w:val="center"/>
          </w:tcPr>
          <w:p w14:paraId="00563766" w14:textId="5245B6CA" w:rsidR="007C5BB2" w:rsidRPr="00A81743" w:rsidRDefault="00827C44" w:rsidP="00F23E7B">
            <w:pPr>
              <w:pStyle w:val="NoSpacing"/>
              <w:spacing w:line="360" w:lineRule="auto"/>
              <w:rPr>
                <w:rFonts w:eastAsia="PMingLiU" w:cstheme="minorHAnsi"/>
                <w:lang w:eastAsia="zh-HK"/>
              </w:rPr>
            </w:pPr>
            <w:r>
              <w:rPr>
                <w:rFonts w:eastAsia="PMingLiU" w:cstheme="minorHAnsi"/>
                <w:lang w:eastAsia="zh-HK"/>
              </w:rPr>
              <w:t>0.07</w:t>
            </w:r>
          </w:p>
        </w:tc>
      </w:tr>
      <w:tr w:rsidR="007C5BB2" w:rsidRPr="00A81743" w14:paraId="69C767B0" w14:textId="77777777" w:rsidTr="007F55DC">
        <w:trPr>
          <w:trHeight w:val="255"/>
        </w:trPr>
        <w:tc>
          <w:tcPr>
            <w:tcW w:w="3560" w:type="dxa"/>
            <w:vAlign w:val="center"/>
          </w:tcPr>
          <w:p w14:paraId="113ED438" w14:textId="77777777" w:rsidR="007C5BB2" w:rsidRPr="00A81743" w:rsidRDefault="007C5BB2" w:rsidP="00F23E7B">
            <w:pPr>
              <w:pStyle w:val="NoSpacing"/>
              <w:spacing w:line="360" w:lineRule="auto"/>
              <w:rPr>
                <w:rFonts w:eastAsia="PMingLiU" w:cstheme="minorHAnsi"/>
                <w:b/>
                <w:lang w:eastAsia="zh-HK"/>
              </w:rPr>
            </w:pPr>
            <w:r w:rsidRPr="00A81743">
              <w:rPr>
                <w:rFonts w:eastAsia="PMingLiU" w:cstheme="minorHAnsi"/>
                <w:b/>
                <w:lang w:eastAsia="zh-HK"/>
              </w:rPr>
              <w:t>Pre-procedure Emotion-B score*</w:t>
            </w:r>
          </w:p>
        </w:tc>
        <w:tc>
          <w:tcPr>
            <w:tcW w:w="3561" w:type="dxa"/>
            <w:vAlign w:val="center"/>
          </w:tcPr>
          <w:p w14:paraId="32601729" w14:textId="77777777" w:rsidR="007C5BB2" w:rsidRPr="00A81743" w:rsidRDefault="007C5BB2" w:rsidP="00F23E7B">
            <w:pPr>
              <w:pStyle w:val="NoSpacing"/>
              <w:spacing w:line="360" w:lineRule="auto"/>
              <w:rPr>
                <w:rFonts w:eastAsia="PMingLiU" w:cstheme="minorHAnsi"/>
                <w:lang w:eastAsia="zh-HK"/>
              </w:rPr>
            </w:pPr>
            <w:r w:rsidRPr="00A81743">
              <w:rPr>
                <w:rFonts w:eastAsia="PMingLiU" w:cstheme="minorHAnsi"/>
                <w:lang w:eastAsia="zh-HK"/>
              </w:rPr>
              <w:t>0.330</w:t>
            </w:r>
          </w:p>
        </w:tc>
        <w:tc>
          <w:tcPr>
            <w:tcW w:w="3561" w:type="dxa"/>
            <w:vAlign w:val="center"/>
          </w:tcPr>
          <w:p w14:paraId="2B655700" w14:textId="2B7BFBFE" w:rsidR="007C5BB2" w:rsidRPr="00A81743" w:rsidRDefault="00827C44" w:rsidP="00F23E7B">
            <w:pPr>
              <w:pStyle w:val="NoSpacing"/>
              <w:spacing w:line="360" w:lineRule="auto"/>
              <w:rPr>
                <w:rFonts w:eastAsia="PMingLiU" w:cstheme="minorHAnsi"/>
                <w:lang w:eastAsia="zh-HK"/>
              </w:rPr>
            </w:pPr>
            <w:r>
              <w:rPr>
                <w:rFonts w:eastAsia="PMingLiU" w:cstheme="minorHAnsi"/>
                <w:lang w:eastAsia="zh-HK"/>
              </w:rPr>
              <w:t>0.02</w:t>
            </w:r>
          </w:p>
        </w:tc>
      </w:tr>
      <w:tr w:rsidR="007C5BB2" w:rsidRPr="00A81743" w14:paraId="166CC2FD" w14:textId="77777777" w:rsidTr="007F55DC">
        <w:trPr>
          <w:trHeight w:val="255"/>
        </w:trPr>
        <w:tc>
          <w:tcPr>
            <w:tcW w:w="3560" w:type="dxa"/>
            <w:vAlign w:val="center"/>
          </w:tcPr>
          <w:p w14:paraId="21E1B47A" w14:textId="77777777" w:rsidR="007C5BB2" w:rsidRPr="00A81743" w:rsidRDefault="007C5BB2" w:rsidP="00F23E7B">
            <w:pPr>
              <w:pStyle w:val="NoSpacing"/>
              <w:spacing w:line="360" w:lineRule="auto"/>
              <w:rPr>
                <w:rFonts w:eastAsia="PMingLiU" w:cstheme="minorHAnsi"/>
                <w:b/>
                <w:lang w:eastAsia="zh-HK"/>
              </w:rPr>
            </w:pPr>
            <w:r w:rsidRPr="00A81743">
              <w:rPr>
                <w:rFonts w:eastAsia="PMingLiU" w:cstheme="minorHAnsi"/>
                <w:b/>
                <w:lang w:eastAsia="zh-HK"/>
              </w:rPr>
              <w:t>Lateral position**</w:t>
            </w:r>
          </w:p>
        </w:tc>
        <w:tc>
          <w:tcPr>
            <w:tcW w:w="3561" w:type="dxa"/>
            <w:vAlign w:val="center"/>
          </w:tcPr>
          <w:p w14:paraId="6AD56CE8" w14:textId="77777777" w:rsidR="007C5BB2" w:rsidRPr="00A81743" w:rsidRDefault="007C5BB2" w:rsidP="00F23E7B">
            <w:pPr>
              <w:pStyle w:val="NoSpacing"/>
              <w:spacing w:line="360" w:lineRule="auto"/>
              <w:rPr>
                <w:rFonts w:eastAsia="PMingLiU" w:cstheme="minorHAnsi"/>
                <w:lang w:eastAsia="zh-HK"/>
              </w:rPr>
            </w:pPr>
            <w:r w:rsidRPr="00A81743">
              <w:rPr>
                <w:rFonts w:eastAsia="PMingLiU" w:cstheme="minorHAnsi"/>
                <w:lang w:eastAsia="zh-HK"/>
              </w:rPr>
              <w:t>-1.878</w:t>
            </w:r>
          </w:p>
        </w:tc>
        <w:tc>
          <w:tcPr>
            <w:tcW w:w="3561" w:type="dxa"/>
            <w:vAlign w:val="center"/>
          </w:tcPr>
          <w:p w14:paraId="18BFF027" w14:textId="622B33E4" w:rsidR="007C5BB2" w:rsidRPr="00A81743" w:rsidRDefault="00827C44" w:rsidP="00F23E7B">
            <w:pPr>
              <w:pStyle w:val="NoSpacing"/>
              <w:spacing w:line="360" w:lineRule="auto"/>
              <w:rPr>
                <w:rFonts w:eastAsia="PMingLiU" w:cstheme="minorHAnsi"/>
                <w:lang w:eastAsia="zh-HK"/>
              </w:rPr>
            </w:pPr>
            <w:r>
              <w:rPr>
                <w:rFonts w:eastAsia="PMingLiU" w:cstheme="minorHAnsi"/>
                <w:lang w:eastAsia="zh-HK"/>
              </w:rPr>
              <w:t>0.06</w:t>
            </w:r>
          </w:p>
        </w:tc>
      </w:tr>
    </w:tbl>
    <w:p w14:paraId="65812DF0" w14:textId="77777777" w:rsidR="007F55DC" w:rsidRPr="00A81743" w:rsidRDefault="007F55DC" w:rsidP="00F23E7B">
      <w:pPr>
        <w:pStyle w:val="NoSpacing"/>
        <w:spacing w:line="360" w:lineRule="auto"/>
        <w:rPr>
          <w:rFonts w:eastAsia="PMingLiU" w:cstheme="minorHAnsi"/>
          <w:lang w:eastAsia="zh-HK"/>
        </w:rPr>
      </w:pPr>
    </w:p>
    <w:p w14:paraId="27CC3BB6" w14:textId="77777777" w:rsidR="007C5BB2" w:rsidRPr="00A81743" w:rsidRDefault="007C5BB2" w:rsidP="00F23E7B">
      <w:pPr>
        <w:pStyle w:val="NoSpacing"/>
        <w:spacing w:line="360" w:lineRule="auto"/>
        <w:rPr>
          <w:rFonts w:eastAsia="PMingLiU" w:cstheme="minorHAnsi"/>
          <w:lang w:eastAsia="zh-HK"/>
        </w:rPr>
      </w:pPr>
      <w:r w:rsidRPr="00A81743">
        <w:rPr>
          <w:rFonts w:eastAsia="PMingLiU" w:cstheme="minorHAnsi"/>
          <w:lang w:eastAsia="zh-HK"/>
        </w:rPr>
        <w:t>*Pearson’s correlation test</w:t>
      </w:r>
    </w:p>
    <w:p w14:paraId="611B81B1" w14:textId="77777777" w:rsidR="007C5BB2" w:rsidRPr="00A81743" w:rsidRDefault="007C5BB2" w:rsidP="00F23E7B">
      <w:pPr>
        <w:pStyle w:val="NoSpacing"/>
        <w:spacing w:line="360" w:lineRule="auto"/>
        <w:rPr>
          <w:rFonts w:eastAsia="PMingLiU" w:cstheme="minorHAnsi"/>
          <w:lang w:eastAsia="zh-HK"/>
        </w:rPr>
      </w:pPr>
      <w:r w:rsidRPr="00A81743">
        <w:rPr>
          <w:rFonts w:eastAsia="PMingLiU" w:cstheme="minorHAnsi"/>
          <w:lang w:eastAsia="zh-HK"/>
        </w:rPr>
        <w:t>**Mann Whitney U test</w:t>
      </w:r>
    </w:p>
    <w:p w14:paraId="10894445" w14:textId="27B5A37E" w:rsidR="0068104E" w:rsidRPr="0068104E" w:rsidRDefault="0068104E" w:rsidP="00F23E7B">
      <w:pPr>
        <w:spacing w:line="360" w:lineRule="auto"/>
        <w:rPr>
          <w:rFonts w:cstheme="minorHAnsi"/>
        </w:rPr>
      </w:pPr>
      <w:r w:rsidRPr="0068104E">
        <w:rPr>
          <w:rFonts w:cstheme="minorHAnsi"/>
        </w:rPr>
        <w:br w:type="page"/>
      </w:r>
    </w:p>
    <w:p w14:paraId="0ADAD6D4" w14:textId="352E4A7A" w:rsidR="0068104E" w:rsidRPr="0068104E" w:rsidRDefault="00630BAA" w:rsidP="00F23E7B">
      <w:pPr>
        <w:pStyle w:val="NoSpacing"/>
        <w:spacing w:line="360" w:lineRule="auto"/>
        <w:rPr>
          <w:rFonts w:cstheme="minorHAnsi"/>
          <w:b/>
        </w:rPr>
      </w:pPr>
      <w:r>
        <w:rPr>
          <w:rFonts w:cstheme="minorHAnsi"/>
          <w:b/>
        </w:rPr>
        <w:lastRenderedPageBreak/>
        <w:t xml:space="preserve">Supplemental </w:t>
      </w:r>
      <w:r w:rsidR="0068104E">
        <w:rPr>
          <w:rFonts w:cstheme="minorHAnsi"/>
          <w:b/>
        </w:rPr>
        <w:t xml:space="preserve">Table </w:t>
      </w:r>
      <w:r>
        <w:rPr>
          <w:rFonts w:cstheme="minorHAnsi"/>
          <w:b/>
        </w:rPr>
        <w:t>1</w:t>
      </w:r>
      <w:r w:rsidR="0068104E" w:rsidRPr="0068104E">
        <w:rPr>
          <w:rFonts w:cstheme="minorHAnsi"/>
          <w:b/>
        </w:rPr>
        <w:t xml:space="preserve">: </w:t>
      </w:r>
      <w:r w:rsidR="0068104E">
        <w:rPr>
          <w:rFonts w:cstheme="minorHAnsi"/>
          <w:b/>
        </w:rPr>
        <w:t>M</w:t>
      </w:r>
      <w:r w:rsidR="0068104E" w:rsidRPr="0068104E">
        <w:rPr>
          <w:rFonts w:cstheme="minorHAnsi"/>
          <w:b/>
        </w:rPr>
        <w:t xml:space="preserve">edian change in </w:t>
      </w:r>
      <w:r w:rsidR="0068104E" w:rsidRPr="0068104E">
        <w:rPr>
          <w:rFonts w:eastAsia="PMingLiU" w:cstheme="minorHAnsi"/>
          <w:b/>
          <w:lang w:eastAsia="zh-HK"/>
        </w:rPr>
        <w:t>QoR-40</w:t>
      </w:r>
      <w:r w:rsidR="0068104E" w:rsidRPr="0068104E">
        <w:rPr>
          <w:rFonts w:cstheme="minorHAnsi"/>
          <w:b/>
        </w:rPr>
        <w:t xml:space="preserve"> scores from before </w:t>
      </w:r>
      <w:r w:rsidR="0068104E" w:rsidRPr="0068104E">
        <w:rPr>
          <w:rFonts w:eastAsia="PMingLiU" w:cstheme="minorHAnsi"/>
          <w:b/>
          <w:lang w:eastAsia="zh-HK"/>
        </w:rPr>
        <w:t>and after procedure</w:t>
      </w:r>
    </w:p>
    <w:p w14:paraId="08704149" w14:textId="77777777" w:rsidR="0068104E" w:rsidRPr="0068104E" w:rsidRDefault="0068104E" w:rsidP="00F23E7B">
      <w:pPr>
        <w:pStyle w:val="NoSpacing"/>
        <w:spacing w:line="360" w:lineRule="auto"/>
        <w:rPr>
          <w:rFonts w:cstheme="minorHAnsi"/>
        </w:rPr>
      </w:pPr>
    </w:p>
    <w:tbl>
      <w:tblPr>
        <w:tblStyle w:val="TableGrid"/>
        <w:tblW w:w="0" w:type="auto"/>
        <w:tblLook w:val="04A0" w:firstRow="1" w:lastRow="0" w:firstColumn="1" w:lastColumn="0" w:noHBand="0" w:noVBand="1"/>
      </w:tblPr>
      <w:tblGrid>
        <w:gridCol w:w="2526"/>
        <w:gridCol w:w="2524"/>
        <w:gridCol w:w="2522"/>
        <w:gridCol w:w="2524"/>
      </w:tblGrid>
      <w:tr w:rsidR="0068104E" w:rsidRPr="0068104E" w14:paraId="566C922E" w14:textId="77777777" w:rsidTr="0068104E">
        <w:trPr>
          <w:trHeight w:val="283"/>
        </w:trPr>
        <w:tc>
          <w:tcPr>
            <w:tcW w:w="2526" w:type="dxa"/>
            <w:vAlign w:val="center"/>
          </w:tcPr>
          <w:p w14:paraId="55853ED2" w14:textId="77777777" w:rsidR="0068104E" w:rsidRPr="0068104E" w:rsidRDefault="0068104E" w:rsidP="00F23E7B">
            <w:pPr>
              <w:pStyle w:val="NoSpacing"/>
              <w:spacing w:line="360" w:lineRule="auto"/>
              <w:rPr>
                <w:rFonts w:cstheme="minorHAnsi"/>
              </w:rPr>
            </w:pPr>
          </w:p>
        </w:tc>
        <w:tc>
          <w:tcPr>
            <w:tcW w:w="2524" w:type="dxa"/>
            <w:vAlign w:val="center"/>
          </w:tcPr>
          <w:p w14:paraId="73C7EC0E" w14:textId="1AA6671E" w:rsidR="0068104E" w:rsidRPr="0068104E" w:rsidRDefault="0068104E" w:rsidP="00F23E7B">
            <w:pPr>
              <w:pStyle w:val="NoSpacing"/>
              <w:spacing w:line="360" w:lineRule="auto"/>
              <w:rPr>
                <w:rFonts w:cstheme="minorHAnsi"/>
              </w:rPr>
            </w:pPr>
            <w:r w:rsidRPr="0068104E">
              <w:rPr>
                <w:rFonts w:cstheme="minorHAnsi"/>
              </w:rPr>
              <w:t>Control</w:t>
            </w:r>
            <w:r w:rsidR="00CA768E">
              <w:rPr>
                <w:rFonts w:cstheme="minorHAnsi"/>
              </w:rPr>
              <w:t xml:space="preserve"> (IQR)</w:t>
            </w:r>
          </w:p>
        </w:tc>
        <w:tc>
          <w:tcPr>
            <w:tcW w:w="2522" w:type="dxa"/>
            <w:vAlign w:val="center"/>
          </w:tcPr>
          <w:p w14:paraId="57B7D942" w14:textId="7CCEB4AC" w:rsidR="0068104E" w:rsidRPr="0068104E" w:rsidRDefault="0068104E" w:rsidP="00F23E7B">
            <w:pPr>
              <w:pStyle w:val="NoSpacing"/>
              <w:spacing w:line="360" w:lineRule="auto"/>
              <w:rPr>
                <w:rFonts w:cstheme="minorHAnsi"/>
              </w:rPr>
            </w:pPr>
            <w:r w:rsidRPr="0068104E">
              <w:rPr>
                <w:rFonts w:cstheme="minorHAnsi"/>
              </w:rPr>
              <w:t>VR</w:t>
            </w:r>
            <w:r w:rsidR="00CA768E">
              <w:rPr>
                <w:rFonts w:cstheme="minorHAnsi"/>
              </w:rPr>
              <w:t xml:space="preserve"> (IQR)</w:t>
            </w:r>
          </w:p>
        </w:tc>
        <w:tc>
          <w:tcPr>
            <w:tcW w:w="2524" w:type="dxa"/>
            <w:vAlign w:val="center"/>
          </w:tcPr>
          <w:p w14:paraId="4316A2B3" w14:textId="77777777" w:rsidR="0068104E" w:rsidRPr="0068104E" w:rsidRDefault="0068104E" w:rsidP="00F23E7B">
            <w:pPr>
              <w:pStyle w:val="NoSpacing"/>
              <w:spacing w:line="360" w:lineRule="auto"/>
              <w:rPr>
                <w:rFonts w:cstheme="minorHAnsi"/>
              </w:rPr>
            </w:pPr>
            <w:r w:rsidRPr="0068104E">
              <w:rPr>
                <w:rFonts w:cstheme="minorHAnsi"/>
              </w:rPr>
              <w:t>p</w:t>
            </w:r>
          </w:p>
        </w:tc>
      </w:tr>
      <w:tr w:rsidR="0068104E" w:rsidRPr="0068104E" w14:paraId="50154F66" w14:textId="77777777" w:rsidTr="0068104E">
        <w:trPr>
          <w:trHeight w:val="283"/>
        </w:trPr>
        <w:tc>
          <w:tcPr>
            <w:tcW w:w="2526" w:type="dxa"/>
            <w:vAlign w:val="center"/>
          </w:tcPr>
          <w:p w14:paraId="1E30D0CB" w14:textId="77777777" w:rsidR="0068104E" w:rsidRPr="0068104E" w:rsidRDefault="0068104E" w:rsidP="00F23E7B">
            <w:pPr>
              <w:pStyle w:val="NoSpacing"/>
              <w:spacing w:line="360" w:lineRule="auto"/>
              <w:rPr>
                <w:rFonts w:cstheme="minorHAnsi"/>
              </w:rPr>
            </w:pPr>
            <w:r w:rsidRPr="0068104E">
              <w:rPr>
                <w:rFonts w:cstheme="minorHAnsi"/>
              </w:rPr>
              <w:t>Comfort Score Change</w:t>
            </w:r>
          </w:p>
        </w:tc>
        <w:tc>
          <w:tcPr>
            <w:tcW w:w="2524" w:type="dxa"/>
            <w:vAlign w:val="center"/>
          </w:tcPr>
          <w:p w14:paraId="51C6CCAB" w14:textId="3A3EEA11" w:rsidR="0068104E" w:rsidRPr="0068104E" w:rsidRDefault="0068104E" w:rsidP="00F23E7B">
            <w:pPr>
              <w:pStyle w:val="NoSpacing"/>
              <w:spacing w:line="360" w:lineRule="auto"/>
              <w:rPr>
                <w:rFonts w:cstheme="minorHAnsi"/>
              </w:rPr>
            </w:pPr>
            <w:r w:rsidRPr="0068104E">
              <w:rPr>
                <w:rFonts w:cstheme="minorHAnsi"/>
              </w:rPr>
              <w:t>0</w:t>
            </w:r>
            <w:r w:rsidR="00CA768E">
              <w:rPr>
                <w:rFonts w:cstheme="minorHAnsi"/>
              </w:rPr>
              <w:t>(0-1)</w:t>
            </w:r>
          </w:p>
        </w:tc>
        <w:tc>
          <w:tcPr>
            <w:tcW w:w="2522" w:type="dxa"/>
            <w:vAlign w:val="center"/>
          </w:tcPr>
          <w:p w14:paraId="52A69C8E" w14:textId="30F6DDFE" w:rsidR="0068104E" w:rsidRPr="0068104E" w:rsidRDefault="0068104E" w:rsidP="00F23E7B">
            <w:pPr>
              <w:pStyle w:val="NoSpacing"/>
              <w:spacing w:line="360" w:lineRule="auto"/>
              <w:rPr>
                <w:rFonts w:cstheme="minorHAnsi"/>
              </w:rPr>
            </w:pPr>
            <w:r w:rsidRPr="0068104E">
              <w:rPr>
                <w:rFonts w:cstheme="minorHAnsi"/>
              </w:rPr>
              <w:t>0</w:t>
            </w:r>
            <w:r w:rsidR="00CA768E">
              <w:rPr>
                <w:rFonts w:cstheme="minorHAnsi"/>
              </w:rPr>
              <w:t xml:space="preserve"> (0-2)</w:t>
            </w:r>
          </w:p>
        </w:tc>
        <w:tc>
          <w:tcPr>
            <w:tcW w:w="2524" w:type="dxa"/>
            <w:vAlign w:val="center"/>
          </w:tcPr>
          <w:p w14:paraId="5CD0C4A8" w14:textId="229543FA" w:rsidR="0068104E" w:rsidRPr="0068104E" w:rsidRDefault="00827C44" w:rsidP="00F23E7B">
            <w:pPr>
              <w:pStyle w:val="NoSpacing"/>
              <w:spacing w:line="360" w:lineRule="auto"/>
              <w:rPr>
                <w:rFonts w:cstheme="minorHAnsi"/>
              </w:rPr>
            </w:pPr>
            <w:r>
              <w:rPr>
                <w:rFonts w:cstheme="minorHAnsi"/>
              </w:rPr>
              <w:t>0.25</w:t>
            </w:r>
          </w:p>
        </w:tc>
      </w:tr>
      <w:tr w:rsidR="0068104E" w:rsidRPr="0068104E" w14:paraId="3844D5E5" w14:textId="77777777" w:rsidTr="0068104E">
        <w:trPr>
          <w:trHeight w:val="283"/>
        </w:trPr>
        <w:tc>
          <w:tcPr>
            <w:tcW w:w="2526" w:type="dxa"/>
            <w:vAlign w:val="center"/>
          </w:tcPr>
          <w:p w14:paraId="5C93EB3F" w14:textId="77777777" w:rsidR="0068104E" w:rsidRPr="0068104E" w:rsidRDefault="0068104E" w:rsidP="00F23E7B">
            <w:pPr>
              <w:pStyle w:val="NoSpacing"/>
              <w:spacing w:line="360" w:lineRule="auto"/>
              <w:rPr>
                <w:rFonts w:cstheme="minorHAnsi"/>
              </w:rPr>
            </w:pPr>
            <w:r w:rsidRPr="0068104E">
              <w:rPr>
                <w:rFonts w:cstheme="minorHAnsi"/>
              </w:rPr>
              <w:t>Emotion Score Change</w:t>
            </w:r>
          </w:p>
        </w:tc>
        <w:tc>
          <w:tcPr>
            <w:tcW w:w="2524" w:type="dxa"/>
            <w:vAlign w:val="center"/>
          </w:tcPr>
          <w:p w14:paraId="31B4BF02" w14:textId="2068A152" w:rsidR="0068104E" w:rsidRPr="0068104E" w:rsidRDefault="0068104E" w:rsidP="00F23E7B">
            <w:pPr>
              <w:pStyle w:val="NoSpacing"/>
              <w:spacing w:line="360" w:lineRule="auto"/>
              <w:rPr>
                <w:rFonts w:cstheme="minorHAnsi"/>
              </w:rPr>
            </w:pPr>
            <w:r w:rsidRPr="0068104E">
              <w:rPr>
                <w:rFonts w:cstheme="minorHAnsi"/>
              </w:rPr>
              <w:t>1</w:t>
            </w:r>
            <w:r w:rsidR="00CA768E">
              <w:rPr>
                <w:rFonts w:cstheme="minorHAnsi"/>
              </w:rPr>
              <w:t xml:space="preserve"> (0-2.5)</w:t>
            </w:r>
          </w:p>
        </w:tc>
        <w:tc>
          <w:tcPr>
            <w:tcW w:w="2522" w:type="dxa"/>
            <w:vAlign w:val="center"/>
          </w:tcPr>
          <w:p w14:paraId="7E107183" w14:textId="09AF23AE" w:rsidR="0068104E" w:rsidRPr="0068104E" w:rsidRDefault="0068104E" w:rsidP="00F23E7B">
            <w:pPr>
              <w:pStyle w:val="NoSpacing"/>
              <w:spacing w:line="360" w:lineRule="auto"/>
              <w:rPr>
                <w:rFonts w:cstheme="minorHAnsi"/>
              </w:rPr>
            </w:pPr>
            <w:r w:rsidRPr="0068104E">
              <w:rPr>
                <w:rFonts w:cstheme="minorHAnsi"/>
              </w:rPr>
              <w:t>0</w:t>
            </w:r>
            <w:r w:rsidR="00CA768E">
              <w:rPr>
                <w:rFonts w:cstheme="minorHAnsi"/>
              </w:rPr>
              <w:t xml:space="preserve"> (-.5-2)</w:t>
            </w:r>
          </w:p>
        </w:tc>
        <w:tc>
          <w:tcPr>
            <w:tcW w:w="2524" w:type="dxa"/>
            <w:vAlign w:val="center"/>
          </w:tcPr>
          <w:p w14:paraId="57DF9ADC" w14:textId="45D70B0A" w:rsidR="0068104E" w:rsidRPr="0068104E" w:rsidRDefault="00827C44" w:rsidP="00F23E7B">
            <w:pPr>
              <w:pStyle w:val="NoSpacing"/>
              <w:spacing w:line="360" w:lineRule="auto"/>
              <w:rPr>
                <w:rFonts w:cstheme="minorHAnsi"/>
              </w:rPr>
            </w:pPr>
            <w:r>
              <w:rPr>
                <w:rFonts w:cstheme="minorHAnsi"/>
              </w:rPr>
              <w:t>0.15</w:t>
            </w:r>
          </w:p>
        </w:tc>
      </w:tr>
      <w:tr w:rsidR="0068104E" w:rsidRPr="0068104E" w14:paraId="76FDA3E3" w14:textId="77777777" w:rsidTr="0068104E">
        <w:trPr>
          <w:trHeight w:val="283"/>
        </w:trPr>
        <w:tc>
          <w:tcPr>
            <w:tcW w:w="2526" w:type="dxa"/>
            <w:vAlign w:val="center"/>
          </w:tcPr>
          <w:p w14:paraId="43CE8237" w14:textId="77777777" w:rsidR="0068104E" w:rsidRPr="0068104E" w:rsidRDefault="0068104E" w:rsidP="00F23E7B">
            <w:pPr>
              <w:pStyle w:val="NoSpacing"/>
              <w:spacing w:line="360" w:lineRule="auto"/>
              <w:rPr>
                <w:rFonts w:cstheme="minorHAnsi"/>
              </w:rPr>
            </w:pPr>
            <w:r w:rsidRPr="0068104E">
              <w:rPr>
                <w:rFonts w:cstheme="minorHAnsi"/>
              </w:rPr>
              <w:t>Symptom Score Change</w:t>
            </w:r>
          </w:p>
        </w:tc>
        <w:tc>
          <w:tcPr>
            <w:tcW w:w="2524" w:type="dxa"/>
            <w:vAlign w:val="center"/>
          </w:tcPr>
          <w:p w14:paraId="64665185" w14:textId="69019D67" w:rsidR="0068104E" w:rsidRPr="0068104E" w:rsidRDefault="0068104E" w:rsidP="00F23E7B">
            <w:pPr>
              <w:pStyle w:val="NoSpacing"/>
              <w:spacing w:line="360" w:lineRule="auto"/>
              <w:rPr>
                <w:rFonts w:cstheme="minorHAnsi"/>
              </w:rPr>
            </w:pPr>
            <w:r w:rsidRPr="0068104E">
              <w:rPr>
                <w:rFonts w:cstheme="minorHAnsi"/>
              </w:rPr>
              <w:t>0</w:t>
            </w:r>
            <w:r w:rsidR="00CA768E">
              <w:rPr>
                <w:rFonts w:cstheme="minorHAnsi"/>
              </w:rPr>
              <w:t xml:space="preserve"> (-1-0)</w:t>
            </w:r>
          </w:p>
        </w:tc>
        <w:tc>
          <w:tcPr>
            <w:tcW w:w="2522" w:type="dxa"/>
            <w:vAlign w:val="center"/>
          </w:tcPr>
          <w:p w14:paraId="4452377A" w14:textId="1EF88BDA" w:rsidR="0068104E" w:rsidRPr="0068104E" w:rsidRDefault="0068104E" w:rsidP="00F23E7B">
            <w:pPr>
              <w:pStyle w:val="NoSpacing"/>
              <w:spacing w:line="360" w:lineRule="auto"/>
              <w:rPr>
                <w:rFonts w:cstheme="minorHAnsi"/>
              </w:rPr>
            </w:pPr>
            <w:r w:rsidRPr="0068104E">
              <w:rPr>
                <w:rFonts w:cstheme="minorHAnsi"/>
              </w:rPr>
              <w:t>0</w:t>
            </w:r>
            <w:r w:rsidR="00CA768E">
              <w:rPr>
                <w:rFonts w:cstheme="minorHAnsi"/>
              </w:rPr>
              <w:t xml:space="preserve"> (-1-0)</w:t>
            </w:r>
          </w:p>
        </w:tc>
        <w:tc>
          <w:tcPr>
            <w:tcW w:w="2524" w:type="dxa"/>
            <w:vAlign w:val="center"/>
          </w:tcPr>
          <w:p w14:paraId="21272D32" w14:textId="5E59AD70" w:rsidR="0068104E" w:rsidRPr="0068104E" w:rsidRDefault="00827C44" w:rsidP="00F23E7B">
            <w:pPr>
              <w:pStyle w:val="NoSpacing"/>
              <w:spacing w:line="360" w:lineRule="auto"/>
              <w:rPr>
                <w:rFonts w:cstheme="minorHAnsi"/>
              </w:rPr>
            </w:pPr>
            <w:r>
              <w:rPr>
                <w:rFonts w:cstheme="minorHAnsi"/>
              </w:rPr>
              <w:t>0.80</w:t>
            </w:r>
          </w:p>
        </w:tc>
      </w:tr>
      <w:tr w:rsidR="0068104E" w:rsidRPr="0068104E" w14:paraId="578E8C65" w14:textId="77777777" w:rsidTr="0068104E">
        <w:trPr>
          <w:trHeight w:val="283"/>
        </w:trPr>
        <w:tc>
          <w:tcPr>
            <w:tcW w:w="2526" w:type="dxa"/>
            <w:vAlign w:val="center"/>
          </w:tcPr>
          <w:p w14:paraId="7B853BAA" w14:textId="77777777" w:rsidR="0068104E" w:rsidRPr="0068104E" w:rsidRDefault="0068104E" w:rsidP="00F23E7B">
            <w:pPr>
              <w:pStyle w:val="NoSpacing"/>
              <w:spacing w:line="360" w:lineRule="auto"/>
              <w:rPr>
                <w:rFonts w:cstheme="minorHAnsi"/>
              </w:rPr>
            </w:pPr>
            <w:r w:rsidRPr="0068104E">
              <w:rPr>
                <w:rFonts w:cstheme="minorHAnsi"/>
              </w:rPr>
              <w:t>Emotion (B) Score Change</w:t>
            </w:r>
          </w:p>
        </w:tc>
        <w:tc>
          <w:tcPr>
            <w:tcW w:w="2524" w:type="dxa"/>
            <w:vAlign w:val="center"/>
          </w:tcPr>
          <w:p w14:paraId="414EE0DE" w14:textId="72FDBEFC" w:rsidR="0068104E" w:rsidRPr="0068104E" w:rsidRDefault="0068104E" w:rsidP="00F23E7B">
            <w:pPr>
              <w:pStyle w:val="NoSpacing"/>
              <w:spacing w:line="360" w:lineRule="auto"/>
              <w:rPr>
                <w:rFonts w:cstheme="minorHAnsi"/>
              </w:rPr>
            </w:pPr>
            <w:r w:rsidRPr="0068104E">
              <w:rPr>
                <w:rFonts w:cstheme="minorHAnsi"/>
              </w:rPr>
              <w:t>-2</w:t>
            </w:r>
            <w:r w:rsidR="00CA768E">
              <w:rPr>
                <w:rFonts w:cstheme="minorHAnsi"/>
              </w:rPr>
              <w:t xml:space="preserve"> (-3-0)</w:t>
            </w:r>
          </w:p>
        </w:tc>
        <w:tc>
          <w:tcPr>
            <w:tcW w:w="2522" w:type="dxa"/>
            <w:vAlign w:val="center"/>
          </w:tcPr>
          <w:p w14:paraId="0A158516" w14:textId="4019E22B" w:rsidR="0068104E" w:rsidRPr="0068104E" w:rsidRDefault="0068104E" w:rsidP="00F23E7B">
            <w:pPr>
              <w:pStyle w:val="NoSpacing"/>
              <w:spacing w:line="360" w:lineRule="auto"/>
              <w:rPr>
                <w:rFonts w:cstheme="minorHAnsi"/>
              </w:rPr>
            </w:pPr>
            <w:r w:rsidRPr="0068104E">
              <w:rPr>
                <w:rFonts w:cstheme="minorHAnsi"/>
              </w:rPr>
              <w:t>-2</w:t>
            </w:r>
            <w:r w:rsidR="00CA768E">
              <w:rPr>
                <w:rFonts w:cstheme="minorHAnsi"/>
              </w:rPr>
              <w:t xml:space="preserve"> (-3.5-0)</w:t>
            </w:r>
          </w:p>
        </w:tc>
        <w:tc>
          <w:tcPr>
            <w:tcW w:w="2524" w:type="dxa"/>
            <w:vAlign w:val="center"/>
          </w:tcPr>
          <w:p w14:paraId="769F47B3" w14:textId="39E71B20" w:rsidR="0068104E" w:rsidRPr="0068104E" w:rsidRDefault="00827C44" w:rsidP="00F23E7B">
            <w:pPr>
              <w:pStyle w:val="NoSpacing"/>
              <w:spacing w:line="360" w:lineRule="auto"/>
              <w:rPr>
                <w:rFonts w:cstheme="minorHAnsi"/>
              </w:rPr>
            </w:pPr>
            <w:r>
              <w:rPr>
                <w:rFonts w:cstheme="minorHAnsi"/>
              </w:rPr>
              <w:t>0.61</w:t>
            </w:r>
          </w:p>
        </w:tc>
      </w:tr>
      <w:tr w:rsidR="0068104E" w:rsidRPr="0068104E" w14:paraId="67406942" w14:textId="77777777" w:rsidTr="0068104E">
        <w:trPr>
          <w:trHeight w:val="283"/>
        </w:trPr>
        <w:tc>
          <w:tcPr>
            <w:tcW w:w="2526" w:type="dxa"/>
            <w:vAlign w:val="center"/>
          </w:tcPr>
          <w:p w14:paraId="12ACEDF7" w14:textId="77777777" w:rsidR="0068104E" w:rsidRPr="0068104E" w:rsidRDefault="0068104E" w:rsidP="00F23E7B">
            <w:pPr>
              <w:pStyle w:val="NoSpacing"/>
              <w:spacing w:line="360" w:lineRule="auto"/>
              <w:rPr>
                <w:rFonts w:cstheme="minorHAnsi"/>
              </w:rPr>
            </w:pPr>
            <w:r w:rsidRPr="0068104E">
              <w:rPr>
                <w:rFonts w:cstheme="minorHAnsi"/>
              </w:rPr>
              <w:t>Confusion Score Change</w:t>
            </w:r>
          </w:p>
        </w:tc>
        <w:tc>
          <w:tcPr>
            <w:tcW w:w="2524" w:type="dxa"/>
            <w:vAlign w:val="center"/>
          </w:tcPr>
          <w:p w14:paraId="0F31C618" w14:textId="0B94AE07" w:rsidR="0068104E" w:rsidRPr="0068104E" w:rsidRDefault="0068104E" w:rsidP="00F23E7B">
            <w:pPr>
              <w:pStyle w:val="NoSpacing"/>
              <w:spacing w:line="360" w:lineRule="auto"/>
              <w:rPr>
                <w:rFonts w:cstheme="minorHAnsi"/>
              </w:rPr>
            </w:pPr>
            <w:r w:rsidRPr="0068104E">
              <w:rPr>
                <w:rFonts w:cstheme="minorHAnsi"/>
              </w:rPr>
              <w:t>0</w:t>
            </w:r>
            <w:r w:rsidR="00CA768E">
              <w:rPr>
                <w:rFonts w:cstheme="minorHAnsi"/>
              </w:rPr>
              <w:t xml:space="preserve"> (0-0)</w:t>
            </w:r>
          </w:p>
        </w:tc>
        <w:tc>
          <w:tcPr>
            <w:tcW w:w="2522" w:type="dxa"/>
            <w:vAlign w:val="center"/>
          </w:tcPr>
          <w:p w14:paraId="03894464" w14:textId="3C065966" w:rsidR="0068104E" w:rsidRPr="0068104E" w:rsidRDefault="0068104E" w:rsidP="00F23E7B">
            <w:pPr>
              <w:pStyle w:val="NoSpacing"/>
              <w:spacing w:line="360" w:lineRule="auto"/>
              <w:rPr>
                <w:rFonts w:cstheme="minorHAnsi"/>
              </w:rPr>
            </w:pPr>
            <w:r w:rsidRPr="0068104E">
              <w:rPr>
                <w:rFonts w:cstheme="minorHAnsi"/>
              </w:rPr>
              <w:t>0</w:t>
            </w:r>
            <w:r w:rsidR="00CA768E">
              <w:rPr>
                <w:rFonts w:cstheme="minorHAnsi"/>
              </w:rPr>
              <w:t xml:space="preserve"> (0-0)</w:t>
            </w:r>
          </w:p>
        </w:tc>
        <w:tc>
          <w:tcPr>
            <w:tcW w:w="2524" w:type="dxa"/>
            <w:vAlign w:val="center"/>
          </w:tcPr>
          <w:p w14:paraId="4411503F" w14:textId="7C13EF59" w:rsidR="0068104E" w:rsidRPr="0068104E" w:rsidRDefault="00827C44" w:rsidP="00F23E7B">
            <w:pPr>
              <w:pStyle w:val="NoSpacing"/>
              <w:spacing w:line="360" w:lineRule="auto"/>
              <w:rPr>
                <w:rFonts w:cstheme="minorHAnsi"/>
              </w:rPr>
            </w:pPr>
            <w:r>
              <w:rPr>
                <w:rFonts w:cstheme="minorHAnsi"/>
              </w:rPr>
              <w:t>0.08</w:t>
            </w:r>
          </w:p>
        </w:tc>
      </w:tr>
      <w:tr w:rsidR="0068104E" w:rsidRPr="0068104E" w14:paraId="787B3F0C" w14:textId="77777777" w:rsidTr="0068104E">
        <w:trPr>
          <w:trHeight w:val="283"/>
        </w:trPr>
        <w:tc>
          <w:tcPr>
            <w:tcW w:w="2526" w:type="dxa"/>
            <w:vAlign w:val="center"/>
          </w:tcPr>
          <w:p w14:paraId="2D130A28" w14:textId="77777777" w:rsidR="0068104E" w:rsidRPr="0068104E" w:rsidRDefault="0068104E" w:rsidP="00F23E7B">
            <w:pPr>
              <w:pStyle w:val="NoSpacing"/>
              <w:spacing w:line="360" w:lineRule="auto"/>
              <w:rPr>
                <w:rFonts w:cstheme="minorHAnsi"/>
              </w:rPr>
            </w:pPr>
            <w:r w:rsidRPr="0068104E">
              <w:rPr>
                <w:rFonts w:cstheme="minorHAnsi"/>
              </w:rPr>
              <w:t>Pain Score Change</w:t>
            </w:r>
          </w:p>
        </w:tc>
        <w:tc>
          <w:tcPr>
            <w:tcW w:w="2524" w:type="dxa"/>
            <w:vAlign w:val="center"/>
          </w:tcPr>
          <w:p w14:paraId="4E7959B3" w14:textId="7D1ED627" w:rsidR="0068104E" w:rsidRPr="0068104E" w:rsidRDefault="0068104E" w:rsidP="00F23E7B">
            <w:pPr>
              <w:pStyle w:val="NoSpacing"/>
              <w:spacing w:line="360" w:lineRule="auto"/>
              <w:rPr>
                <w:rFonts w:cstheme="minorHAnsi"/>
              </w:rPr>
            </w:pPr>
            <w:r w:rsidRPr="0068104E">
              <w:rPr>
                <w:rFonts w:cstheme="minorHAnsi"/>
              </w:rPr>
              <w:t>-6</w:t>
            </w:r>
            <w:r w:rsidR="00CA768E">
              <w:rPr>
                <w:rFonts w:cstheme="minorHAnsi"/>
              </w:rPr>
              <w:t xml:space="preserve"> (-9-</w:t>
            </w:r>
            <w:r w:rsidR="009521F5">
              <w:rPr>
                <w:rFonts w:cstheme="minorHAnsi"/>
              </w:rPr>
              <w:t>(</w:t>
            </w:r>
            <w:r w:rsidR="00CA768E">
              <w:rPr>
                <w:rFonts w:cstheme="minorHAnsi"/>
              </w:rPr>
              <w:t>-</w:t>
            </w:r>
            <w:r w:rsidR="009521F5">
              <w:rPr>
                <w:rFonts w:cstheme="minorHAnsi"/>
              </w:rPr>
              <w:t>)</w:t>
            </w:r>
            <w:r w:rsidR="00CA768E">
              <w:rPr>
                <w:rFonts w:cstheme="minorHAnsi"/>
              </w:rPr>
              <w:t>4)</w:t>
            </w:r>
          </w:p>
        </w:tc>
        <w:tc>
          <w:tcPr>
            <w:tcW w:w="2522" w:type="dxa"/>
            <w:vAlign w:val="center"/>
          </w:tcPr>
          <w:p w14:paraId="20731892" w14:textId="68A4C758" w:rsidR="0068104E" w:rsidRPr="0068104E" w:rsidRDefault="0068104E" w:rsidP="00F23E7B">
            <w:pPr>
              <w:pStyle w:val="NoSpacing"/>
              <w:spacing w:line="360" w:lineRule="auto"/>
              <w:rPr>
                <w:rFonts w:cstheme="minorHAnsi"/>
              </w:rPr>
            </w:pPr>
            <w:r w:rsidRPr="0068104E">
              <w:rPr>
                <w:rFonts w:cstheme="minorHAnsi"/>
              </w:rPr>
              <w:t>-5</w:t>
            </w:r>
            <w:r w:rsidR="00CA768E">
              <w:rPr>
                <w:rFonts w:cstheme="minorHAnsi"/>
              </w:rPr>
              <w:t xml:space="preserve"> (-8.5-</w:t>
            </w:r>
            <w:r w:rsidR="009521F5">
              <w:rPr>
                <w:rFonts w:cstheme="minorHAnsi"/>
              </w:rPr>
              <w:t>(</w:t>
            </w:r>
            <w:r w:rsidR="00CA768E">
              <w:rPr>
                <w:rFonts w:cstheme="minorHAnsi"/>
              </w:rPr>
              <w:t>-</w:t>
            </w:r>
            <w:r w:rsidR="009521F5">
              <w:rPr>
                <w:rFonts w:cstheme="minorHAnsi"/>
              </w:rPr>
              <w:t>)</w:t>
            </w:r>
            <w:r w:rsidR="00CA768E">
              <w:rPr>
                <w:rFonts w:cstheme="minorHAnsi"/>
              </w:rPr>
              <w:t>3)</w:t>
            </w:r>
          </w:p>
        </w:tc>
        <w:tc>
          <w:tcPr>
            <w:tcW w:w="2524" w:type="dxa"/>
            <w:vAlign w:val="center"/>
          </w:tcPr>
          <w:p w14:paraId="7A826C22" w14:textId="3C75363A" w:rsidR="0068104E" w:rsidRPr="0068104E" w:rsidRDefault="00827C44" w:rsidP="00F23E7B">
            <w:pPr>
              <w:pStyle w:val="NoSpacing"/>
              <w:spacing w:line="360" w:lineRule="auto"/>
              <w:rPr>
                <w:rFonts w:cstheme="minorHAnsi"/>
              </w:rPr>
            </w:pPr>
            <w:r>
              <w:rPr>
                <w:rFonts w:cstheme="minorHAnsi"/>
              </w:rPr>
              <w:t>0.60</w:t>
            </w:r>
          </w:p>
        </w:tc>
      </w:tr>
      <w:tr w:rsidR="0068104E" w:rsidRPr="0068104E" w14:paraId="58CCD285" w14:textId="77777777" w:rsidTr="0068104E">
        <w:trPr>
          <w:trHeight w:val="283"/>
        </w:trPr>
        <w:tc>
          <w:tcPr>
            <w:tcW w:w="2526" w:type="dxa"/>
            <w:vAlign w:val="center"/>
          </w:tcPr>
          <w:p w14:paraId="2B2EA260" w14:textId="77777777" w:rsidR="0068104E" w:rsidRPr="0068104E" w:rsidRDefault="0068104E" w:rsidP="00F23E7B">
            <w:pPr>
              <w:pStyle w:val="NoSpacing"/>
              <w:spacing w:line="360" w:lineRule="auto"/>
              <w:rPr>
                <w:rFonts w:cstheme="minorHAnsi"/>
              </w:rPr>
            </w:pPr>
            <w:r w:rsidRPr="0068104E">
              <w:rPr>
                <w:rFonts w:cstheme="minorHAnsi"/>
              </w:rPr>
              <w:t>Overall Score Change</w:t>
            </w:r>
          </w:p>
        </w:tc>
        <w:tc>
          <w:tcPr>
            <w:tcW w:w="2524" w:type="dxa"/>
            <w:vAlign w:val="center"/>
          </w:tcPr>
          <w:p w14:paraId="37180FD2" w14:textId="5A08A92B" w:rsidR="0068104E" w:rsidRPr="0068104E" w:rsidRDefault="009521F5" w:rsidP="00F23E7B">
            <w:pPr>
              <w:pStyle w:val="NoSpacing"/>
              <w:spacing w:line="360" w:lineRule="auto"/>
              <w:rPr>
                <w:rFonts w:cstheme="minorHAnsi"/>
              </w:rPr>
            </w:pPr>
            <w:r>
              <w:rPr>
                <w:rFonts w:cstheme="minorHAnsi"/>
              </w:rPr>
              <w:t>-7</w:t>
            </w:r>
            <w:r w:rsidR="00CA768E">
              <w:rPr>
                <w:rFonts w:cstheme="minorHAnsi"/>
              </w:rPr>
              <w:t xml:space="preserve"> (</w:t>
            </w:r>
            <w:r>
              <w:rPr>
                <w:rFonts w:cstheme="minorHAnsi"/>
              </w:rPr>
              <w:t>-10-(-)4</w:t>
            </w:r>
            <w:r w:rsidR="00CA768E">
              <w:rPr>
                <w:rFonts w:cstheme="minorHAnsi"/>
              </w:rPr>
              <w:t>)</w:t>
            </w:r>
          </w:p>
        </w:tc>
        <w:tc>
          <w:tcPr>
            <w:tcW w:w="2522" w:type="dxa"/>
            <w:vAlign w:val="center"/>
          </w:tcPr>
          <w:p w14:paraId="3123C80D" w14:textId="7A702773" w:rsidR="0068104E" w:rsidRPr="0068104E" w:rsidRDefault="009521F5" w:rsidP="00F23E7B">
            <w:pPr>
              <w:pStyle w:val="NoSpacing"/>
              <w:spacing w:line="360" w:lineRule="auto"/>
              <w:rPr>
                <w:rFonts w:cstheme="minorHAnsi"/>
              </w:rPr>
            </w:pPr>
            <w:r>
              <w:rPr>
                <w:rFonts w:cstheme="minorHAnsi"/>
              </w:rPr>
              <w:t>-7</w:t>
            </w:r>
            <w:r w:rsidR="00B76BF8">
              <w:rPr>
                <w:rFonts w:cstheme="minorHAnsi"/>
              </w:rPr>
              <w:t xml:space="preserve"> (-10.5-(-)1</w:t>
            </w:r>
            <w:r w:rsidR="00CA768E">
              <w:rPr>
                <w:rFonts w:cstheme="minorHAnsi"/>
              </w:rPr>
              <w:t>)</w:t>
            </w:r>
          </w:p>
        </w:tc>
        <w:tc>
          <w:tcPr>
            <w:tcW w:w="2524" w:type="dxa"/>
            <w:vAlign w:val="center"/>
          </w:tcPr>
          <w:p w14:paraId="44BE6F9E" w14:textId="6C8A252A" w:rsidR="0068104E" w:rsidRPr="0068104E" w:rsidRDefault="00827C44" w:rsidP="00F23E7B">
            <w:pPr>
              <w:pStyle w:val="NoSpacing"/>
              <w:spacing w:line="360" w:lineRule="auto"/>
              <w:rPr>
                <w:rFonts w:cstheme="minorHAnsi"/>
              </w:rPr>
            </w:pPr>
            <w:r>
              <w:rPr>
                <w:rFonts w:cstheme="minorHAnsi"/>
              </w:rPr>
              <w:t>0.82</w:t>
            </w:r>
          </w:p>
        </w:tc>
      </w:tr>
    </w:tbl>
    <w:p w14:paraId="44B51527" w14:textId="77777777" w:rsidR="0068104E" w:rsidRPr="0068104E" w:rsidRDefault="0068104E" w:rsidP="00F23E7B">
      <w:pPr>
        <w:pStyle w:val="NoSpacing"/>
        <w:spacing w:line="360" w:lineRule="auto"/>
        <w:rPr>
          <w:rFonts w:cstheme="minorHAnsi"/>
        </w:rPr>
      </w:pPr>
    </w:p>
    <w:p w14:paraId="7E4DD46A" w14:textId="2782930F" w:rsidR="00A81743" w:rsidRPr="00A81743" w:rsidRDefault="00A81743" w:rsidP="00F23E7B">
      <w:pPr>
        <w:spacing w:line="360" w:lineRule="auto"/>
        <w:rPr>
          <w:rFonts w:cstheme="minorHAnsi"/>
        </w:rPr>
      </w:pPr>
    </w:p>
    <w:sectPr w:rsidR="00A81743" w:rsidRPr="00A81743" w:rsidSect="00974E07">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4C78A5" w14:textId="77777777" w:rsidR="00596E54" w:rsidRDefault="00596E54" w:rsidP="00C86E89">
      <w:pPr>
        <w:spacing w:after="0" w:line="240" w:lineRule="auto"/>
      </w:pPr>
      <w:r>
        <w:separator/>
      </w:r>
    </w:p>
  </w:endnote>
  <w:endnote w:type="continuationSeparator" w:id="0">
    <w:p w14:paraId="059C7F01" w14:textId="77777777" w:rsidR="00596E54" w:rsidRDefault="00596E54" w:rsidP="00C86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altName w:val="Calibri"/>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FD2AE9" w14:textId="77777777" w:rsidR="00596E54" w:rsidRDefault="00596E54" w:rsidP="00C86E89">
      <w:pPr>
        <w:spacing w:after="0" w:line="240" w:lineRule="auto"/>
      </w:pPr>
      <w:r>
        <w:separator/>
      </w:r>
    </w:p>
  </w:footnote>
  <w:footnote w:type="continuationSeparator" w:id="0">
    <w:p w14:paraId="55EE6007" w14:textId="77777777" w:rsidR="00596E54" w:rsidRDefault="00596E54" w:rsidP="00C86E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73811"/>
    <w:multiLevelType w:val="hybridMultilevel"/>
    <w:tmpl w:val="0966D8C2"/>
    <w:lvl w:ilvl="0" w:tplc="6BFE4D90">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DF93417"/>
    <w:multiLevelType w:val="hybridMultilevel"/>
    <w:tmpl w:val="9FD2B0B4"/>
    <w:lvl w:ilvl="0" w:tplc="BDCA82E2">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33A5508"/>
    <w:multiLevelType w:val="hybridMultilevel"/>
    <w:tmpl w:val="F84E8FB0"/>
    <w:lvl w:ilvl="0" w:tplc="2780D9DA">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6876C50"/>
    <w:multiLevelType w:val="hybridMultilevel"/>
    <w:tmpl w:val="FA427AA8"/>
    <w:lvl w:ilvl="0" w:tplc="889C2BEA">
      <w:numFmt w:val="bullet"/>
      <w:lvlText w:val="-"/>
      <w:lvlJc w:val="left"/>
      <w:pPr>
        <w:ind w:left="720" w:hanging="360"/>
      </w:pPr>
      <w:rPr>
        <w:rFonts w:ascii="Times New Roman" w:eastAsia="SimSu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9231C7B"/>
    <w:multiLevelType w:val="hybridMultilevel"/>
    <w:tmpl w:val="9E5C9CE8"/>
    <w:lvl w:ilvl="0" w:tplc="8F566644">
      <w:numFmt w:val="bullet"/>
      <w:lvlText w:val="-"/>
      <w:lvlJc w:val="left"/>
      <w:pPr>
        <w:ind w:left="1080" w:hanging="360"/>
      </w:pPr>
      <w:rPr>
        <w:rFonts w:ascii="Times New Roman" w:eastAsia="SimSu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nsid w:val="1B4B49E7"/>
    <w:multiLevelType w:val="hybridMultilevel"/>
    <w:tmpl w:val="0B1EEFF4"/>
    <w:lvl w:ilvl="0" w:tplc="1C681912">
      <w:numFmt w:val="bullet"/>
      <w:lvlText w:val="-"/>
      <w:lvlJc w:val="left"/>
      <w:pPr>
        <w:ind w:left="720" w:hanging="360"/>
      </w:pPr>
      <w:rPr>
        <w:rFonts w:ascii="Arial" w:eastAsia="PMingLiU"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nsid w:val="1D3E10ED"/>
    <w:multiLevelType w:val="hybridMultilevel"/>
    <w:tmpl w:val="C266472C"/>
    <w:lvl w:ilvl="0" w:tplc="72DE1004">
      <w:numFmt w:val="bullet"/>
      <w:lvlText w:val=""/>
      <w:lvlJc w:val="left"/>
      <w:pPr>
        <w:ind w:left="720" w:hanging="360"/>
      </w:pPr>
      <w:rPr>
        <w:rFonts w:ascii="Symbol" w:eastAsia="PMingLiU" w:hAnsi="Symbol"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nsid w:val="22780699"/>
    <w:multiLevelType w:val="hybridMultilevel"/>
    <w:tmpl w:val="A94C75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2850E9A"/>
    <w:multiLevelType w:val="hybridMultilevel"/>
    <w:tmpl w:val="B61C08E6"/>
    <w:lvl w:ilvl="0" w:tplc="C9CAF5EA">
      <w:numFmt w:val="bullet"/>
      <w:lvlText w:val="-"/>
      <w:lvlJc w:val="left"/>
      <w:pPr>
        <w:ind w:left="720" w:hanging="360"/>
      </w:pPr>
      <w:rPr>
        <w:rFonts w:ascii="Calibri" w:eastAsia="SimSu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59D42CC"/>
    <w:multiLevelType w:val="hybridMultilevel"/>
    <w:tmpl w:val="F94A4586"/>
    <w:lvl w:ilvl="0" w:tplc="BA1EA8B0">
      <w:numFmt w:val="bullet"/>
      <w:lvlText w:val="-"/>
      <w:lvlJc w:val="left"/>
      <w:pPr>
        <w:ind w:left="720" w:hanging="360"/>
      </w:pPr>
      <w:rPr>
        <w:rFonts w:ascii="Times New Roman" w:eastAsia="SimSu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263506E"/>
    <w:multiLevelType w:val="hybridMultilevel"/>
    <w:tmpl w:val="5CE074D6"/>
    <w:lvl w:ilvl="0" w:tplc="2390CB14">
      <w:numFmt w:val="bullet"/>
      <w:lvlText w:val=""/>
      <w:lvlJc w:val="left"/>
      <w:pPr>
        <w:ind w:left="720" w:hanging="360"/>
      </w:pPr>
      <w:rPr>
        <w:rFonts w:ascii="Symbol" w:eastAsiaTheme="minorEastAsia"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A493DFC"/>
    <w:multiLevelType w:val="hybridMultilevel"/>
    <w:tmpl w:val="93721C12"/>
    <w:lvl w:ilvl="0" w:tplc="F6B2B614">
      <w:start w:val="134"/>
      <w:numFmt w:val="bullet"/>
      <w:lvlText w:val="-"/>
      <w:lvlJc w:val="left"/>
      <w:pPr>
        <w:ind w:left="720" w:hanging="360"/>
      </w:pPr>
      <w:rPr>
        <w:rFonts w:ascii="Arial" w:eastAsia="Calibri"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9F2E8E"/>
    <w:multiLevelType w:val="hybridMultilevel"/>
    <w:tmpl w:val="7B806430"/>
    <w:lvl w:ilvl="0" w:tplc="FE28085E">
      <w:start w:val="1"/>
      <w:numFmt w:val="bullet"/>
      <w:lvlText w:val="•"/>
      <w:lvlJc w:val="left"/>
      <w:pPr>
        <w:tabs>
          <w:tab w:val="num" w:pos="720"/>
        </w:tabs>
        <w:ind w:left="720" w:hanging="360"/>
      </w:pPr>
      <w:rPr>
        <w:rFonts w:ascii="Arial" w:hAnsi="Arial" w:hint="default"/>
      </w:rPr>
    </w:lvl>
    <w:lvl w:ilvl="1" w:tplc="500C6750">
      <w:numFmt w:val="bullet"/>
      <w:lvlText w:val="•"/>
      <w:lvlJc w:val="left"/>
      <w:pPr>
        <w:tabs>
          <w:tab w:val="num" w:pos="1440"/>
        </w:tabs>
        <w:ind w:left="1440" w:hanging="360"/>
      </w:pPr>
      <w:rPr>
        <w:rFonts w:ascii="Arial" w:hAnsi="Arial" w:hint="default"/>
      </w:rPr>
    </w:lvl>
    <w:lvl w:ilvl="2" w:tplc="CD2A523A" w:tentative="1">
      <w:start w:val="1"/>
      <w:numFmt w:val="bullet"/>
      <w:lvlText w:val="•"/>
      <w:lvlJc w:val="left"/>
      <w:pPr>
        <w:tabs>
          <w:tab w:val="num" w:pos="2160"/>
        </w:tabs>
        <w:ind w:left="2160" w:hanging="360"/>
      </w:pPr>
      <w:rPr>
        <w:rFonts w:ascii="Arial" w:hAnsi="Arial" w:hint="default"/>
      </w:rPr>
    </w:lvl>
    <w:lvl w:ilvl="3" w:tplc="EE6AF576">
      <w:numFmt w:val="bullet"/>
      <w:lvlText w:val="•"/>
      <w:lvlJc w:val="left"/>
      <w:pPr>
        <w:tabs>
          <w:tab w:val="num" w:pos="2880"/>
        </w:tabs>
        <w:ind w:left="2880" w:hanging="360"/>
      </w:pPr>
      <w:rPr>
        <w:rFonts w:ascii="Arial" w:hAnsi="Arial" w:hint="default"/>
      </w:rPr>
    </w:lvl>
    <w:lvl w:ilvl="4" w:tplc="6A0E20E0" w:tentative="1">
      <w:start w:val="1"/>
      <w:numFmt w:val="bullet"/>
      <w:lvlText w:val="•"/>
      <w:lvlJc w:val="left"/>
      <w:pPr>
        <w:tabs>
          <w:tab w:val="num" w:pos="3600"/>
        </w:tabs>
        <w:ind w:left="3600" w:hanging="360"/>
      </w:pPr>
      <w:rPr>
        <w:rFonts w:ascii="Arial" w:hAnsi="Arial" w:hint="default"/>
      </w:rPr>
    </w:lvl>
    <w:lvl w:ilvl="5" w:tplc="8784682A" w:tentative="1">
      <w:start w:val="1"/>
      <w:numFmt w:val="bullet"/>
      <w:lvlText w:val="•"/>
      <w:lvlJc w:val="left"/>
      <w:pPr>
        <w:tabs>
          <w:tab w:val="num" w:pos="4320"/>
        </w:tabs>
        <w:ind w:left="4320" w:hanging="360"/>
      </w:pPr>
      <w:rPr>
        <w:rFonts w:ascii="Arial" w:hAnsi="Arial" w:hint="default"/>
      </w:rPr>
    </w:lvl>
    <w:lvl w:ilvl="6" w:tplc="AC6E96F2" w:tentative="1">
      <w:start w:val="1"/>
      <w:numFmt w:val="bullet"/>
      <w:lvlText w:val="•"/>
      <w:lvlJc w:val="left"/>
      <w:pPr>
        <w:tabs>
          <w:tab w:val="num" w:pos="5040"/>
        </w:tabs>
        <w:ind w:left="5040" w:hanging="360"/>
      </w:pPr>
      <w:rPr>
        <w:rFonts w:ascii="Arial" w:hAnsi="Arial" w:hint="default"/>
      </w:rPr>
    </w:lvl>
    <w:lvl w:ilvl="7" w:tplc="33FE08F2" w:tentative="1">
      <w:start w:val="1"/>
      <w:numFmt w:val="bullet"/>
      <w:lvlText w:val="•"/>
      <w:lvlJc w:val="left"/>
      <w:pPr>
        <w:tabs>
          <w:tab w:val="num" w:pos="5760"/>
        </w:tabs>
        <w:ind w:left="5760" w:hanging="360"/>
      </w:pPr>
      <w:rPr>
        <w:rFonts w:ascii="Arial" w:hAnsi="Arial" w:hint="default"/>
      </w:rPr>
    </w:lvl>
    <w:lvl w:ilvl="8" w:tplc="83222AC4" w:tentative="1">
      <w:start w:val="1"/>
      <w:numFmt w:val="bullet"/>
      <w:lvlText w:val="•"/>
      <w:lvlJc w:val="left"/>
      <w:pPr>
        <w:tabs>
          <w:tab w:val="num" w:pos="6480"/>
        </w:tabs>
        <w:ind w:left="6480" w:hanging="360"/>
      </w:pPr>
      <w:rPr>
        <w:rFonts w:ascii="Arial" w:hAnsi="Arial" w:hint="default"/>
      </w:rPr>
    </w:lvl>
  </w:abstractNum>
  <w:abstractNum w:abstractNumId="13">
    <w:nsid w:val="54951C0D"/>
    <w:multiLevelType w:val="hybridMultilevel"/>
    <w:tmpl w:val="F5EC0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201B9B"/>
    <w:multiLevelType w:val="hybridMultilevel"/>
    <w:tmpl w:val="DF765C4E"/>
    <w:lvl w:ilvl="0" w:tplc="74EE596C">
      <w:start w:val="13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1A08D8"/>
    <w:multiLevelType w:val="hybridMultilevel"/>
    <w:tmpl w:val="D97E6E4E"/>
    <w:lvl w:ilvl="0" w:tplc="FC6C48E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4485C94"/>
    <w:multiLevelType w:val="hybridMultilevel"/>
    <w:tmpl w:val="A3BCD9B6"/>
    <w:lvl w:ilvl="0" w:tplc="C5AAC18C">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81403CC"/>
    <w:multiLevelType w:val="hybridMultilevel"/>
    <w:tmpl w:val="47AAB144"/>
    <w:lvl w:ilvl="0" w:tplc="400A3D12">
      <w:numFmt w:val="bullet"/>
      <w:lvlText w:val="-"/>
      <w:lvlJc w:val="left"/>
      <w:pPr>
        <w:ind w:left="720" w:hanging="360"/>
      </w:pPr>
      <w:rPr>
        <w:rFonts w:ascii="Arial" w:eastAsia="PMingLiU"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nsid w:val="6D2B4EC2"/>
    <w:multiLevelType w:val="hybridMultilevel"/>
    <w:tmpl w:val="F70418CC"/>
    <w:lvl w:ilvl="0" w:tplc="C62AB5B2">
      <w:start w:val="23"/>
      <w:numFmt w:val="bullet"/>
      <w:lvlText w:val=""/>
      <w:lvlJc w:val="left"/>
      <w:pPr>
        <w:ind w:left="720" w:hanging="360"/>
      </w:pPr>
      <w:rPr>
        <w:rFonts w:ascii="Symbol" w:eastAsiaTheme="minorEastAsia"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7293991"/>
    <w:multiLevelType w:val="hybridMultilevel"/>
    <w:tmpl w:val="C7A81A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B652CD3"/>
    <w:multiLevelType w:val="hybridMultilevel"/>
    <w:tmpl w:val="A9D4BD2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7CE23DC0"/>
    <w:multiLevelType w:val="hybridMultilevel"/>
    <w:tmpl w:val="13829E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1"/>
  </w:num>
  <w:num w:numId="4">
    <w:abstractNumId w:val="0"/>
  </w:num>
  <w:num w:numId="5">
    <w:abstractNumId w:val="16"/>
  </w:num>
  <w:num w:numId="6">
    <w:abstractNumId w:val="21"/>
  </w:num>
  <w:num w:numId="7">
    <w:abstractNumId w:val="15"/>
  </w:num>
  <w:num w:numId="8">
    <w:abstractNumId w:val="12"/>
  </w:num>
  <w:num w:numId="9">
    <w:abstractNumId w:val="2"/>
  </w:num>
  <w:num w:numId="10">
    <w:abstractNumId w:val="19"/>
  </w:num>
  <w:num w:numId="11">
    <w:abstractNumId w:val="11"/>
  </w:num>
  <w:num w:numId="12">
    <w:abstractNumId w:val="14"/>
  </w:num>
  <w:num w:numId="13">
    <w:abstractNumId w:val="17"/>
  </w:num>
  <w:num w:numId="14">
    <w:abstractNumId w:val="5"/>
  </w:num>
  <w:num w:numId="15">
    <w:abstractNumId w:val="6"/>
  </w:num>
  <w:num w:numId="16">
    <w:abstractNumId w:val="9"/>
  </w:num>
  <w:num w:numId="17">
    <w:abstractNumId w:val="3"/>
  </w:num>
  <w:num w:numId="18">
    <w:abstractNumId w:val="4"/>
  </w:num>
  <w:num w:numId="19">
    <w:abstractNumId w:val="8"/>
  </w:num>
  <w:num w:numId="20">
    <w:abstractNumId w:val="13"/>
  </w:num>
  <w:num w:numId="21">
    <w:abstractNumId w:val="7"/>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B04DD4"/>
    <w:rsid w:val="000040D7"/>
    <w:rsid w:val="00006E85"/>
    <w:rsid w:val="0001638D"/>
    <w:rsid w:val="0002223D"/>
    <w:rsid w:val="00032BC3"/>
    <w:rsid w:val="00032D25"/>
    <w:rsid w:val="00037121"/>
    <w:rsid w:val="00052DCE"/>
    <w:rsid w:val="00053BFD"/>
    <w:rsid w:val="00055A84"/>
    <w:rsid w:val="00061624"/>
    <w:rsid w:val="0006438C"/>
    <w:rsid w:val="000652D2"/>
    <w:rsid w:val="00065B69"/>
    <w:rsid w:val="000860C5"/>
    <w:rsid w:val="000960F1"/>
    <w:rsid w:val="000A0B00"/>
    <w:rsid w:val="000A0BFD"/>
    <w:rsid w:val="000A5BB5"/>
    <w:rsid w:val="000B22A5"/>
    <w:rsid w:val="000B3A73"/>
    <w:rsid w:val="000B4218"/>
    <w:rsid w:val="000B4C01"/>
    <w:rsid w:val="000B5E7B"/>
    <w:rsid w:val="000C368D"/>
    <w:rsid w:val="000D2EAF"/>
    <w:rsid w:val="000D55BF"/>
    <w:rsid w:val="000E06DD"/>
    <w:rsid w:val="000E2054"/>
    <w:rsid w:val="000E3704"/>
    <w:rsid w:val="000F2371"/>
    <w:rsid w:val="000F583F"/>
    <w:rsid w:val="000F5ADA"/>
    <w:rsid w:val="0010542B"/>
    <w:rsid w:val="001054F7"/>
    <w:rsid w:val="001135EB"/>
    <w:rsid w:val="00113760"/>
    <w:rsid w:val="00117626"/>
    <w:rsid w:val="00122E9C"/>
    <w:rsid w:val="00127910"/>
    <w:rsid w:val="00132F22"/>
    <w:rsid w:val="00136ED0"/>
    <w:rsid w:val="00146DBD"/>
    <w:rsid w:val="0015644E"/>
    <w:rsid w:val="0015683D"/>
    <w:rsid w:val="00157261"/>
    <w:rsid w:val="00167443"/>
    <w:rsid w:val="0017369B"/>
    <w:rsid w:val="00181575"/>
    <w:rsid w:val="00186201"/>
    <w:rsid w:val="001912BD"/>
    <w:rsid w:val="001920C4"/>
    <w:rsid w:val="00194EB6"/>
    <w:rsid w:val="00195AE3"/>
    <w:rsid w:val="0019668E"/>
    <w:rsid w:val="00196A71"/>
    <w:rsid w:val="001A15FF"/>
    <w:rsid w:val="001A29E3"/>
    <w:rsid w:val="001A657B"/>
    <w:rsid w:val="001B2F52"/>
    <w:rsid w:val="001B5A17"/>
    <w:rsid w:val="001C0F50"/>
    <w:rsid w:val="001C3CE1"/>
    <w:rsid w:val="001C6783"/>
    <w:rsid w:val="001C6900"/>
    <w:rsid w:val="001C6E89"/>
    <w:rsid w:val="001E51BC"/>
    <w:rsid w:val="001E77FF"/>
    <w:rsid w:val="002039D9"/>
    <w:rsid w:val="00205F4A"/>
    <w:rsid w:val="002113C6"/>
    <w:rsid w:val="002120D4"/>
    <w:rsid w:val="00216DE6"/>
    <w:rsid w:val="002170AF"/>
    <w:rsid w:val="00226729"/>
    <w:rsid w:val="00227A20"/>
    <w:rsid w:val="00231CCD"/>
    <w:rsid w:val="00232F2B"/>
    <w:rsid w:val="00233F2F"/>
    <w:rsid w:val="00234CFC"/>
    <w:rsid w:val="00235B0A"/>
    <w:rsid w:val="00237992"/>
    <w:rsid w:val="0024291C"/>
    <w:rsid w:val="00244D7F"/>
    <w:rsid w:val="0024562A"/>
    <w:rsid w:val="0025591E"/>
    <w:rsid w:val="00257BF6"/>
    <w:rsid w:val="002600CF"/>
    <w:rsid w:val="00262B8A"/>
    <w:rsid w:val="00263C09"/>
    <w:rsid w:val="002657E2"/>
    <w:rsid w:val="00267111"/>
    <w:rsid w:val="0027142F"/>
    <w:rsid w:val="00272B05"/>
    <w:rsid w:val="00273D9D"/>
    <w:rsid w:val="002753C5"/>
    <w:rsid w:val="002770F0"/>
    <w:rsid w:val="002814EA"/>
    <w:rsid w:val="00281DD5"/>
    <w:rsid w:val="002821BA"/>
    <w:rsid w:val="00282343"/>
    <w:rsid w:val="00290E42"/>
    <w:rsid w:val="00290EC8"/>
    <w:rsid w:val="0029312A"/>
    <w:rsid w:val="002A042E"/>
    <w:rsid w:val="002A090C"/>
    <w:rsid w:val="002A59B3"/>
    <w:rsid w:val="002B24C5"/>
    <w:rsid w:val="002B4C58"/>
    <w:rsid w:val="002B50C8"/>
    <w:rsid w:val="002C1C03"/>
    <w:rsid w:val="002C1D1B"/>
    <w:rsid w:val="002C21C9"/>
    <w:rsid w:val="002C7EBE"/>
    <w:rsid w:val="002D3AB5"/>
    <w:rsid w:val="002D5425"/>
    <w:rsid w:val="002E25F5"/>
    <w:rsid w:val="002F01E5"/>
    <w:rsid w:val="002F02AE"/>
    <w:rsid w:val="002F1570"/>
    <w:rsid w:val="002F6E89"/>
    <w:rsid w:val="002F7448"/>
    <w:rsid w:val="00305FAE"/>
    <w:rsid w:val="003060BD"/>
    <w:rsid w:val="003131AA"/>
    <w:rsid w:val="003203E2"/>
    <w:rsid w:val="00324798"/>
    <w:rsid w:val="0033020A"/>
    <w:rsid w:val="00333B28"/>
    <w:rsid w:val="00334AF2"/>
    <w:rsid w:val="00335A58"/>
    <w:rsid w:val="0034255E"/>
    <w:rsid w:val="003431D7"/>
    <w:rsid w:val="0034457E"/>
    <w:rsid w:val="00345C33"/>
    <w:rsid w:val="00346944"/>
    <w:rsid w:val="00351F06"/>
    <w:rsid w:val="00353C19"/>
    <w:rsid w:val="00355FD1"/>
    <w:rsid w:val="00356B91"/>
    <w:rsid w:val="00361A1E"/>
    <w:rsid w:val="00363139"/>
    <w:rsid w:val="00373985"/>
    <w:rsid w:val="0037466D"/>
    <w:rsid w:val="00377FEC"/>
    <w:rsid w:val="00382C86"/>
    <w:rsid w:val="00390065"/>
    <w:rsid w:val="00391AB7"/>
    <w:rsid w:val="00394B1A"/>
    <w:rsid w:val="003950D0"/>
    <w:rsid w:val="00396E9A"/>
    <w:rsid w:val="003A35E2"/>
    <w:rsid w:val="003B4C73"/>
    <w:rsid w:val="003B5504"/>
    <w:rsid w:val="003B62EE"/>
    <w:rsid w:val="003B6ED5"/>
    <w:rsid w:val="003B709E"/>
    <w:rsid w:val="003C0152"/>
    <w:rsid w:val="003C0E9A"/>
    <w:rsid w:val="003C20C2"/>
    <w:rsid w:val="003C58A1"/>
    <w:rsid w:val="003C7913"/>
    <w:rsid w:val="003D1E32"/>
    <w:rsid w:val="003D7D54"/>
    <w:rsid w:val="003E0B7A"/>
    <w:rsid w:val="003E2300"/>
    <w:rsid w:val="003F43C1"/>
    <w:rsid w:val="003F7A8D"/>
    <w:rsid w:val="00401326"/>
    <w:rsid w:val="00405028"/>
    <w:rsid w:val="004057F3"/>
    <w:rsid w:val="004170E7"/>
    <w:rsid w:val="004216CF"/>
    <w:rsid w:val="004245D7"/>
    <w:rsid w:val="00435189"/>
    <w:rsid w:val="00436F79"/>
    <w:rsid w:val="00437C92"/>
    <w:rsid w:val="004465E9"/>
    <w:rsid w:val="00446848"/>
    <w:rsid w:val="00446FC2"/>
    <w:rsid w:val="004474C0"/>
    <w:rsid w:val="00450EAB"/>
    <w:rsid w:val="00451EE7"/>
    <w:rsid w:val="0045206E"/>
    <w:rsid w:val="00456F73"/>
    <w:rsid w:val="00460762"/>
    <w:rsid w:val="00467FAB"/>
    <w:rsid w:val="004750AC"/>
    <w:rsid w:val="0047523A"/>
    <w:rsid w:val="00475BAA"/>
    <w:rsid w:val="00476788"/>
    <w:rsid w:val="00481CB6"/>
    <w:rsid w:val="0048445F"/>
    <w:rsid w:val="00494F15"/>
    <w:rsid w:val="004A23A5"/>
    <w:rsid w:val="004A384D"/>
    <w:rsid w:val="004A6BD5"/>
    <w:rsid w:val="004A7134"/>
    <w:rsid w:val="004B137D"/>
    <w:rsid w:val="004B3CEF"/>
    <w:rsid w:val="004C1EBC"/>
    <w:rsid w:val="004C3A31"/>
    <w:rsid w:val="004C4B30"/>
    <w:rsid w:val="004D0C67"/>
    <w:rsid w:val="004D5661"/>
    <w:rsid w:val="004E1544"/>
    <w:rsid w:val="004E3350"/>
    <w:rsid w:val="004E5D01"/>
    <w:rsid w:val="004E7EBA"/>
    <w:rsid w:val="004F41E2"/>
    <w:rsid w:val="004F5EF2"/>
    <w:rsid w:val="004F6388"/>
    <w:rsid w:val="00505890"/>
    <w:rsid w:val="00507AAE"/>
    <w:rsid w:val="00511B22"/>
    <w:rsid w:val="00512705"/>
    <w:rsid w:val="00515310"/>
    <w:rsid w:val="005155BE"/>
    <w:rsid w:val="005157E7"/>
    <w:rsid w:val="00516B5F"/>
    <w:rsid w:val="00521AC5"/>
    <w:rsid w:val="00525A9C"/>
    <w:rsid w:val="00525CF5"/>
    <w:rsid w:val="00532AAA"/>
    <w:rsid w:val="00534FF5"/>
    <w:rsid w:val="00536146"/>
    <w:rsid w:val="0054089A"/>
    <w:rsid w:val="00544FC5"/>
    <w:rsid w:val="00546F21"/>
    <w:rsid w:val="005522AB"/>
    <w:rsid w:val="00555222"/>
    <w:rsid w:val="0056163E"/>
    <w:rsid w:val="00563E74"/>
    <w:rsid w:val="00567A49"/>
    <w:rsid w:val="005730B4"/>
    <w:rsid w:val="00581235"/>
    <w:rsid w:val="00584C5A"/>
    <w:rsid w:val="005865EA"/>
    <w:rsid w:val="0059262A"/>
    <w:rsid w:val="00593E14"/>
    <w:rsid w:val="00596E54"/>
    <w:rsid w:val="005A1C53"/>
    <w:rsid w:val="005A3DA6"/>
    <w:rsid w:val="005A75F1"/>
    <w:rsid w:val="005B296E"/>
    <w:rsid w:val="005B6452"/>
    <w:rsid w:val="005D0ACF"/>
    <w:rsid w:val="005D385E"/>
    <w:rsid w:val="005D696D"/>
    <w:rsid w:val="005D7726"/>
    <w:rsid w:val="005E2B6F"/>
    <w:rsid w:val="005E5251"/>
    <w:rsid w:val="005E5F2B"/>
    <w:rsid w:val="005F0FEE"/>
    <w:rsid w:val="005F1F97"/>
    <w:rsid w:val="005F37DC"/>
    <w:rsid w:val="006023B5"/>
    <w:rsid w:val="006160B9"/>
    <w:rsid w:val="00616618"/>
    <w:rsid w:val="006173AB"/>
    <w:rsid w:val="0062179E"/>
    <w:rsid w:val="00630BAA"/>
    <w:rsid w:val="0063318E"/>
    <w:rsid w:val="006454B5"/>
    <w:rsid w:val="006605E3"/>
    <w:rsid w:val="00660BBF"/>
    <w:rsid w:val="00667428"/>
    <w:rsid w:val="006704B1"/>
    <w:rsid w:val="006773A3"/>
    <w:rsid w:val="0068104E"/>
    <w:rsid w:val="0068181C"/>
    <w:rsid w:val="00682EBD"/>
    <w:rsid w:val="00682EDD"/>
    <w:rsid w:val="00693EA6"/>
    <w:rsid w:val="00697B57"/>
    <w:rsid w:val="006A01D2"/>
    <w:rsid w:val="006A235F"/>
    <w:rsid w:val="006A56CC"/>
    <w:rsid w:val="006A7087"/>
    <w:rsid w:val="006B0E38"/>
    <w:rsid w:val="006B125F"/>
    <w:rsid w:val="006B4D4E"/>
    <w:rsid w:val="006C0612"/>
    <w:rsid w:val="006C11AD"/>
    <w:rsid w:val="006D45B0"/>
    <w:rsid w:val="006D45B2"/>
    <w:rsid w:val="006D64CD"/>
    <w:rsid w:val="006E6A14"/>
    <w:rsid w:val="006F1740"/>
    <w:rsid w:val="006F1AC1"/>
    <w:rsid w:val="006F6535"/>
    <w:rsid w:val="00703680"/>
    <w:rsid w:val="00717649"/>
    <w:rsid w:val="007229C0"/>
    <w:rsid w:val="00723380"/>
    <w:rsid w:val="007308EA"/>
    <w:rsid w:val="00734030"/>
    <w:rsid w:val="007417FF"/>
    <w:rsid w:val="00744143"/>
    <w:rsid w:val="007459BD"/>
    <w:rsid w:val="00745EE2"/>
    <w:rsid w:val="00757BB5"/>
    <w:rsid w:val="0076151B"/>
    <w:rsid w:val="00762891"/>
    <w:rsid w:val="00763AF0"/>
    <w:rsid w:val="007646D8"/>
    <w:rsid w:val="0077487F"/>
    <w:rsid w:val="0078190E"/>
    <w:rsid w:val="00783665"/>
    <w:rsid w:val="00786C7D"/>
    <w:rsid w:val="00791847"/>
    <w:rsid w:val="00792951"/>
    <w:rsid w:val="007970B9"/>
    <w:rsid w:val="007979E4"/>
    <w:rsid w:val="007A31CD"/>
    <w:rsid w:val="007A4ABD"/>
    <w:rsid w:val="007A61D3"/>
    <w:rsid w:val="007B317E"/>
    <w:rsid w:val="007B5C16"/>
    <w:rsid w:val="007B6C71"/>
    <w:rsid w:val="007B7618"/>
    <w:rsid w:val="007C5BB2"/>
    <w:rsid w:val="007C5C7E"/>
    <w:rsid w:val="007D0701"/>
    <w:rsid w:val="007D20C7"/>
    <w:rsid w:val="007D3BA8"/>
    <w:rsid w:val="007D445F"/>
    <w:rsid w:val="007D4A33"/>
    <w:rsid w:val="007D77D4"/>
    <w:rsid w:val="007D796C"/>
    <w:rsid w:val="007E1F29"/>
    <w:rsid w:val="007E56EA"/>
    <w:rsid w:val="007F27F3"/>
    <w:rsid w:val="007F3995"/>
    <w:rsid w:val="007F55DC"/>
    <w:rsid w:val="007F56B7"/>
    <w:rsid w:val="00801B27"/>
    <w:rsid w:val="00804EC5"/>
    <w:rsid w:val="00806E6E"/>
    <w:rsid w:val="008070CE"/>
    <w:rsid w:val="00807828"/>
    <w:rsid w:val="00812727"/>
    <w:rsid w:val="0082036F"/>
    <w:rsid w:val="00821600"/>
    <w:rsid w:val="00822DBB"/>
    <w:rsid w:val="00823A21"/>
    <w:rsid w:val="008255CA"/>
    <w:rsid w:val="00827C44"/>
    <w:rsid w:val="008361FB"/>
    <w:rsid w:val="00836298"/>
    <w:rsid w:val="008365AD"/>
    <w:rsid w:val="008403DB"/>
    <w:rsid w:val="00840ACE"/>
    <w:rsid w:val="00844663"/>
    <w:rsid w:val="00844CE4"/>
    <w:rsid w:val="00850214"/>
    <w:rsid w:val="008537C4"/>
    <w:rsid w:val="00854C97"/>
    <w:rsid w:val="00872B23"/>
    <w:rsid w:val="00872EE6"/>
    <w:rsid w:val="00874304"/>
    <w:rsid w:val="008817DE"/>
    <w:rsid w:val="00884C45"/>
    <w:rsid w:val="008871E3"/>
    <w:rsid w:val="008910BD"/>
    <w:rsid w:val="0089232B"/>
    <w:rsid w:val="00894E9D"/>
    <w:rsid w:val="00895D94"/>
    <w:rsid w:val="00897659"/>
    <w:rsid w:val="008A2DB5"/>
    <w:rsid w:val="008A3499"/>
    <w:rsid w:val="008A36DB"/>
    <w:rsid w:val="008A3B63"/>
    <w:rsid w:val="008C20B9"/>
    <w:rsid w:val="008C57BC"/>
    <w:rsid w:val="008C66AB"/>
    <w:rsid w:val="008D315B"/>
    <w:rsid w:val="008D55A3"/>
    <w:rsid w:val="008D5ABD"/>
    <w:rsid w:val="008D6132"/>
    <w:rsid w:val="008D7BB0"/>
    <w:rsid w:val="008E4485"/>
    <w:rsid w:val="008E4ACE"/>
    <w:rsid w:val="008E5D5C"/>
    <w:rsid w:val="008F4667"/>
    <w:rsid w:val="00911782"/>
    <w:rsid w:val="009120FC"/>
    <w:rsid w:val="0091515D"/>
    <w:rsid w:val="009165CF"/>
    <w:rsid w:val="00917CEB"/>
    <w:rsid w:val="009229F9"/>
    <w:rsid w:val="0092663F"/>
    <w:rsid w:val="00942AFF"/>
    <w:rsid w:val="00945FC0"/>
    <w:rsid w:val="00950A1E"/>
    <w:rsid w:val="00951A4B"/>
    <w:rsid w:val="009521F5"/>
    <w:rsid w:val="00952635"/>
    <w:rsid w:val="00956522"/>
    <w:rsid w:val="00956C4C"/>
    <w:rsid w:val="00960039"/>
    <w:rsid w:val="0096438C"/>
    <w:rsid w:val="00966BF1"/>
    <w:rsid w:val="009713BF"/>
    <w:rsid w:val="00973C6C"/>
    <w:rsid w:val="00974E07"/>
    <w:rsid w:val="0097579B"/>
    <w:rsid w:val="00977101"/>
    <w:rsid w:val="00984260"/>
    <w:rsid w:val="009844F4"/>
    <w:rsid w:val="00991A32"/>
    <w:rsid w:val="00995D97"/>
    <w:rsid w:val="00996049"/>
    <w:rsid w:val="00997F02"/>
    <w:rsid w:val="009A4256"/>
    <w:rsid w:val="009B35FF"/>
    <w:rsid w:val="009B41B8"/>
    <w:rsid w:val="009B572D"/>
    <w:rsid w:val="009B79BE"/>
    <w:rsid w:val="009C050C"/>
    <w:rsid w:val="009C0857"/>
    <w:rsid w:val="009C0878"/>
    <w:rsid w:val="009D1495"/>
    <w:rsid w:val="009D4D1F"/>
    <w:rsid w:val="009E334F"/>
    <w:rsid w:val="009E7A99"/>
    <w:rsid w:val="009F32BC"/>
    <w:rsid w:val="009F6214"/>
    <w:rsid w:val="00A00418"/>
    <w:rsid w:val="00A04F54"/>
    <w:rsid w:val="00A07987"/>
    <w:rsid w:val="00A10C5B"/>
    <w:rsid w:val="00A11586"/>
    <w:rsid w:val="00A13B1F"/>
    <w:rsid w:val="00A16420"/>
    <w:rsid w:val="00A227E0"/>
    <w:rsid w:val="00A34E30"/>
    <w:rsid w:val="00A36603"/>
    <w:rsid w:val="00A471D4"/>
    <w:rsid w:val="00A51C2A"/>
    <w:rsid w:val="00A5354D"/>
    <w:rsid w:val="00A551B7"/>
    <w:rsid w:val="00A574C5"/>
    <w:rsid w:val="00A57BDC"/>
    <w:rsid w:val="00A6296A"/>
    <w:rsid w:val="00A70DD5"/>
    <w:rsid w:val="00A715CA"/>
    <w:rsid w:val="00A7391C"/>
    <w:rsid w:val="00A7457F"/>
    <w:rsid w:val="00A81743"/>
    <w:rsid w:val="00A818D4"/>
    <w:rsid w:val="00A84C83"/>
    <w:rsid w:val="00A863AC"/>
    <w:rsid w:val="00A9333E"/>
    <w:rsid w:val="00AA166A"/>
    <w:rsid w:val="00AA1FBA"/>
    <w:rsid w:val="00AA353C"/>
    <w:rsid w:val="00AA7533"/>
    <w:rsid w:val="00AB10A7"/>
    <w:rsid w:val="00AB27ED"/>
    <w:rsid w:val="00AB3C9F"/>
    <w:rsid w:val="00AB75CD"/>
    <w:rsid w:val="00AC5EE2"/>
    <w:rsid w:val="00AD34D1"/>
    <w:rsid w:val="00AD5F02"/>
    <w:rsid w:val="00AD69B4"/>
    <w:rsid w:val="00AD7DEF"/>
    <w:rsid w:val="00AE012A"/>
    <w:rsid w:val="00AE0472"/>
    <w:rsid w:val="00AE048A"/>
    <w:rsid w:val="00AE193A"/>
    <w:rsid w:val="00AE26B5"/>
    <w:rsid w:val="00AE3995"/>
    <w:rsid w:val="00AE52B9"/>
    <w:rsid w:val="00AE5C15"/>
    <w:rsid w:val="00AE5F74"/>
    <w:rsid w:val="00AE7478"/>
    <w:rsid w:val="00AF2004"/>
    <w:rsid w:val="00AF240F"/>
    <w:rsid w:val="00AF3E1C"/>
    <w:rsid w:val="00B04DD4"/>
    <w:rsid w:val="00B05912"/>
    <w:rsid w:val="00B10980"/>
    <w:rsid w:val="00B20F08"/>
    <w:rsid w:val="00B25CDB"/>
    <w:rsid w:val="00B2732F"/>
    <w:rsid w:val="00B274CC"/>
    <w:rsid w:val="00B31247"/>
    <w:rsid w:val="00B32539"/>
    <w:rsid w:val="00B3473E"/>
    <w:rsid w:val="00B43C7E"/>
    <w:rsid w:val="00B4476B"/>
    <w:rsid w:val="00B5603B"/>
    <w:rsid w:val="00B56947"/>
    <w:rsid w:val="00B64D30"/>
    <w:rsid w:val="00B652E4"/>
    <w:rsid w:val="00B67BF4"/>
    <w:rsid w:val="00B70E1B"/>
    <w:rsid w:val="00B755D8"/>
    <w:rsid w:val="00B75A25"/>
    <w:rsid w:val="00B76BF8"/>
    <w:rsid w:val="00B83B52"/>
    <w:rsid w:val="00B862A4"/>
    <w:rsid w:val="00BA272A"/>
    <w:rsid w:val="00BA27E5"/>
    <w:rsid w:val="00BA31FF"/>
    <w:rsid w:val="00BA5E75"/>
    <w:rsid w:val="00BA6B75"/>
    <w:rsid w:val="00BB548C"/>
    <w:rsid w:val="00BB59F3"/>
    <w:rsid w:val="00BC23FE"/>
    <w:rsid w:val="00BC65BF"/>
    <w:rsid w:val="00BC7FFE"/>
    <w:rsid w:val="00BD0339"/>
    <w:rsid w:val="00BD0AD7"/>
    <w:rsid w:val="00BD47BC"/>
    <w:rsid w:val="00BD4805"/>
    <w:rsid w:val="00BD5257"/>
    <w:rsid w:val="00BF02F7"/>
    <w:rsid w:val="00BF36B2"/>
    <w:rsid w:val="00BF4909"/>
    <w:rsid w:val="00C00CFE"/>
    <w:rsid w:val="00C00FC9"/>
    <w:rsid w:val="00C02CCF"/>
    <w:rsid w:val="00C03295"/>
    <w:rsid w:val="00C04305"/>
    <w:rsid w:val="00C0437E"/>
    <w:rsid w:val="00C160B4"/>
    <w:rsid w:val="00C2061C"/>
    <w:rsid w:val="00C3026A"/>
    <w:rsid w:val="00C30692"/>
    <w:rsid w:val="00C34AC5"/>
    <w:rsid w:val="00C36B96"/>
    <w:rsid w:val="00C40F3D"/>
    <w:rsid w:val="00C41739"/>
    <w:rsid w:val="00C44624"/>
    <w:rsid w:val="00C54CF3"/>
    <w:rsid w:val="00C572C1"/>
    <w:rsid w:val="00C611C6"/>
    <w:rsid w:val="00C6250F"/>
    <w:rsid w:val="00C65CB4"/>
    <w:rsid w:val="00C76B1C"/>
    <w:rsid w:val="00C86E89"/>
    <w:rsid w:val="00C87E7B"/>
    <w:rsid w:val="00C90A99"/>
    <w:rsid w:val="00C964E9"/>
    <w:rsid w:val="00CA2329"/>
    <w:rsid w:val="00CA5A67"/>
    <w:rsid w:val="00CA768E"/>
    <w:rsid w:val="00CB049D"/>
    <w:rsid w:val="00CB5025"/>
    <w:rsid w:val="00CC1424"/>
    <w:rsid w:val="00CC3729"/>
    <w:rsid w:val="00CD2010"/>
    <w:rsid w:val="00CD3C9A"/>
    <w:rsid w:val="00CD54EC"/>
    <w:rsid w:val="00CD57D1"/>
    <w:rsid w:val="00CD66E7"/>
    <w:rsid w:val="00CE02EE"/>
    <w:rsid w:val="00CE05F0"/>
    <w:rsid w:val="00CE299F"/>
    <w:rsid w:val="00CF25A7"/>
    <w:rsid w:val="00CF40E8"/>
    <w:rsid w:val="00D019C2"/>
    <w:rsid w:val="00D029CE"/>
    <w:rsid w:val="00D0388C"/>
    <w:rsid w:val="00D120AC"/>
    <w:rsid w:val="00D1425F"/>
    <w:rsid w:val="00D176D8"/>
    <w:rsid w:val="00D33B3D"/>
    <w:rsid w:val="00D35FDF"/>
    <w:rsid w:val="00D50CC5"/>
    <w:rsid w:val="00D5164D"/>
    <w:rsid w:val="00D533CA"/>
    <w:rsid w:val="00D53931"/>
    <w:rsid w:val="00D55EA0"/>
    <w:rsid w:val="00D603D8"/>
    <w:rsid w:val="00D60849"/>
    <w:rsid w:val="00D65043"/>
    <w:rsid w:val="00D718B1"/>
    <w:rsid w:val="00D737BA"/>
    <w:rsid w:val="00D80D7E"/>
    <w:rsid w:val="00D845D6"/>
    <w:rsid w:val="00D84F2A"/>
    <w:rsid w:val="00D94290"/>
    <w:rsid w:val="00DA0939"/>
    <w:rsid w:val="00DA3F15"/>
    <w:rsid w:val="00DB0863"/>
    <w:rsid w:val="00DB0E5A"/>
    <w:rsid w:val="00DC5106"/>
    <w:rsid w:val="00DC7B0C"/>
    <w:rsid w:val="00DD0FD1"/>
    <w:rsid w:val="00DD1FD2"/>
    <w:rsid w:val="00DD4903"/>
    <w:rsid w:val="00DD5AE8"/>
    <w:rsid w:val="00DE4010"/>
    <w:rsid w:val="00DE619F"/>
    <w:rsid w:val="00DF15F3"/>
    <w:rsid w:val="00E01448"/>
    <w:rsid w:val="00E1082C"/>
    <w:rsid w:val="00E16B1D"/>
    <w:rsid w:val="00E20140"/>
    <w:rsid w:val="00E229BC"/>
    <w:rsid w:val="00E32AC2"/>
    <w:rsid w:val="00E3362E"/>
    <w:rsid w:val="00E3462B"/>
    <w:rsid w:val="00E3626D"/>
    <w:rsid w:val="00E42D71"/>
    <w:rsid w:val="00E463B7"/>
    <w:rsid w:val="00E469EA"/>
    <w:rsid w:val="00E46CBF"/>
    <w:rsid w:val="00E47F73"/>
    <w:rsid w:val="00E51870"/>
    <w:rsid w:val="00E529AA"/>
    <w:rsid w:val="00E52AC0"/>
    <w:rsid w:val="00E53C6D"/>
    <w:rsid w:val="00E619B2"/>
    <w:rsid w:val="00E62C0D"/>
    <w:rsid w:val="00E63964"/>
    <w:rsid w:val="00E65AF2"/>
    <w:rsid w:val="00E66301"/>
    <w:rsid w:val="00E706D5"/>
    <w:rsid w:val="00E838F4"/>
    <w:rsid w:val="00E8764B"/>
    <w:rsid w:val="00E87A96"/>
    <w:rsid w:val="00E914D1"/>
    <w:rsid w:val="00E92660"/>
    <w:rsid w:val="00E92C15"/>
    <w:rsid w:val="00EA14AC"/>
    <w:rsid w:val="00EA1CF1"/>
    <w:rsid w:val="00EA1ED5"/>
    <w:rsid w:val="00EA75DE"/>
    <w:rsid w:val="00EB05C3"/>
    <w:rsid w:val="00EB3EF5"/>
    <w:rsid w:val="00EB4028"/>
    <w:rsid w:val="00EB5D92"/>
    <w:rsid w:val="00EC0954"/>
    <w:rsid w:val="00EC356A"/>
    <w:rsid w:val="00EC4775"/>
    <w:rsid w:val="00ED09C9"/>
    <w:rsid w:val="00ED1C8B"/>
    <w:rsid w:val="00EE1C06"/>
    <w:rsid w:val="00EE39CC"/>
    <w:rsid w:val="00EE60FE"/>
    <w:rsid w:val="00EF0365"/>
    <w:rsid w:val="00EF3A8D"/>
    <w:rsid w:val="00EF47DA"/>
    <w:rsid w:val="00EF73BB"/>
    <w:rsid w:val="00F0036C"/>
    <w:rsid w:val="00F01E13"/>
    <w:rsid w:val="00F1102A"/>
    <w:rsid w:val="00F137BE"/>
    <w:rsid w:val="00F15FDB"/>
    <w:rsid w:val="00F16A85"/>
    <w:rsid w:val="00F2239D"/>
    <w:rsid w:val="00F2357A"/>
    <w:rsid w:val="00F23E7B"/>
    <w:rsid w:val="00F2543A"/>
    <w:rsid w:val="00F427D2"/>
    <w:rsid w:val="00F45535"/>
    <w:rsid w:val="00F509AD"/>
    <w:rsid w:val="00F53FB1"/>
    <w:rsid w:val="00F5526F"/>
    <w:rsid w:val="00F57C7F"/>
    <w:rsid w:val="00F66B21"/>
    <w:rsid w:val="00F677D3"/>
    <w:rsid w:val="00F72755"/>
    <w:rsid w:val="00F7552B"/>
    <w:rsid w:val="00F76FDC"/>
    <w:rsid w:val="00F773FF"/>
    <w:rsid w:val="00F82D34"/>
    <w:rsid w:val="00F86B7F"/>
    <w:rsid w:val="00F94BED"/>
    <w:rsid w:val="00F95EB6"/>
    <w:rsid w:val="00F961A9"/>
    <w:rsid w:val="00F96334"/>
    <w:rsid w:val="00FA054C"/>
    <w:rsid w:val="00FA1850"/>
    <w:rsid w:val="00FA265F"/>
    <w:rsid w:val="00FA2B76"/>
    <w:rsid w:val="00FA5AC5"/>
    <w:rsid w:val="00FA74F2"/>
    <w:rsid w:val="00FB0146"/>
    <w:rsid w:val="00FB06DA"/>
    <w:rsid w:val="00FB1ACF"/>
    <w:rsid w:val="00FC1E7D"/>
    <w:rsid w:val="00FC5EFC"/>
    <w:rsid w:val="00FD0EF1"/>
    <w:rsid w:val="00FD14FE"/>
    <w:rsid w:val="00FD3F01"/>
    <w:rsid w:val="00FE2EC2"/>
    <w:rsid w:val="00FE5DCD"/>
    <w:rsid w:val="00FE6232"/>
    <w:rsid w:val="00FF1863"/>
    <w:rsid w:val="00FF46E5"/>
    <w:rsid w:val="00FF522C"/>
    <w:rsid w:val="00FF55B3"/>
    <w:rsid w:val="00FF68E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0E4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7430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7C5BB2"/>
    <w:pPr>
      <w:keepNext/>
      <w:keepLines/>
      <w:spacing w:before="200" w:after="0" w:line="276" w:lineRule="auto"/>
      <w:outlineLvl w:val="1"/>
    </w:pPr>
    <w:rPr>
      <w:rFonts w:ascii="Cambria" w:eastAsia="Times New Roman" w:hAnsi="Cambria" w:cs="Times New Roman"/>
      <w:b/>
      <w:bCs/>
      <w:color w:val="4F81BD"/>
      <w:sz w:val="26"/>
      <w:szCs w:val="26"/>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04DD4"/>
    <w:pPr>
      <w:spacing w:after="0" w:line="240" w:lineRule="auto"/>
    </w:pPr>
  </w:style>
  <w:style w:type="character" w:customStyle="1" w:styleId="NoSpacingChar">
    <w:name w:val="No Spacing Char"/>
    <w:basedOn w:val="DefaultParagraphFont"/>
    <w:link w:val="NoSpacing"/>
    <w:uiPriority w:val="1"/>
    <w:rsid w:val="00A715CA"/>
  </w:style>
  <w:style w:type="paragraph" w:customStyle="1" w:styleId="EndNoteBibliographyTitle">
    <w:name w:val="EndNote Bibliography Title"/>
    <w:basedOn w:val="Normal"/>
    <w:link w:val="EndNoteBibliographyTitleChar"/>
    <w:rsid w:val="0015683D"/>
    <w:pPr>
      <w:spacing w:after="0"/>
      <w:jc w:val="center"/>
    </w:pPr>
    <w:rPr>
      <w:rFonts w:ascii="Calibri" w:hAnsi="Calibri" w:cs="Calibri"/>
      <w:noProof/>
      <w:lang w:val="en-US"/>
    </w:rPr>
  </w:style>
  <w:style w:type="character" w:customStyle="1" w:styleId="EndNoteBibliographyTitleChar">
    <w:name w:val="EndNote Bibliography Title Char"/>
    <w:basedOn w:val="NoSpacingChar"/>
    <w:link w:val="EndNoteBibliographyTitle"/>
    <w:rsid w:val="0015683D"/>
    <w:rPr>
      <w:rFonts w:ascii="Calibri" w:hAnsi="Calibri" w:cs="Calibri"/>
      <w:noProof/>
      <w:lang w:val="en-US"/>
    </w:rPr>
  </w:style>
  <w:style w:type="paragraph" w:customStyle="1" w:styleId="EndNoteBibliography">
    <w:name w:val="EndNote Bibliography"/>
    <w:basedOn w:val="Normal"/>
    <w:link w:val="EndNoteBibliographyChar"/>
    <w:rsid w:val="0015683D"/>
    <w:pPr>
      <w:spacing w:line="240" w:lineRule="auto"/>
    </w:pPr>
    <w:rPr>
      <w:rFonts w:ascii="Calibri" w:hAnsi="Calibri" w:cs="Calibri"/>
      <w:noProof/>
      <w:lang w:val="en-US"/>
    </w:rPr>
  </w:style>
  <w:style w:type="character" w:customStyle="1" w:styleId="EndNoteBibliographyChar">
    <w:name w:val="EndNote Bibliography Char"/>
    <w:basedOn w:val="NoSpacingChar"/>
    <w:link w:val="EndNoteBibliography"/>
    <w:rsid w:val="0015683D"/>
    <w:rPr>
      <w:rFonts w:ascii="Calibri" w:hAnsi="Calibri" w:cs="Calibri"/>
      <w:noProof/>
      <w:lang w:val="en-US"/>
    </w:rPr>
  </w:style>
  <w:style w:type="table" w:styleId="TableGrid">
    <w:name w:val="Table Grid"/>
    <w:basedOn w:val="TableNormal"/>
    <w:uiPriority w:val="39"/>
    <w:rsid w:val="00F00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C4775"/>
    <w:rPr>
      <w:sz w:val="16"/>
      <w:szCs w:val="16"/>
    </w:rPr>
  </w:style>
  <w:style w:type="paragraph" w:styleId="CommentText">
    <w:name w:val="annotation text"/>
    <w:basedOn w:val="Normal"/>
    <w:link w:val="CommentTextChar"/>
    <w:uiPriority w:val="99"/>
    <w:unhideWhenUsed/>
    <w:rsid w:val="00EC4775"/>
    <w:pPr>
      <w:spacing w:line="240" w:lineRule="auto"/>
    </w:pPr>
    <w:rPr>
      <w:sz w:val="20"/>
      <w:szCs w:val="20"/>
    </w:rPr>
  </w:style>
  <w:style w:type="character" w:customStyle="1" w:styleId="CommentTextChar">
    <w:name w:val="Comment Text Char"/>
    <w:basedOn w:val="DefaultParagraphFont"/>
    <w:link w:val="CommentText"/>
    <w:uiPriority w:val="99"/>
    <w:rsid w:val="00EC4775"/>
    <w:rPr>
      <w:sz w:val="20"/>
      <w:szCs w:val="20"/>
    </w:rPr>
  </w:style>
  <w:style w:type="paragraph" w:styleId="CommentSubject">
    <w:name w:val="annotation subject"/>
    <w:basedOn w:val="CommentText"/>
    <w:next w:val="CommentText"/>
    <w:link w:val="CommentSubjectChar"/>
    <w:uiPriority w:val="99"/>
    <w:semiHidden/>
    <w:unhideWhenUsed/>
    <w:rsid w:val="00EC4775"/>
    <w:rPr>
      <w:b/>
      <w:bCs/>
    </w:rPr>
  </w:style>
  <w:style w:type="character" w:customStyle="1" w:styleId="CommentSubjectChar">
    <w:name w:val="Comment Subject Char"/>
    <w:basedOn w:val="CommentTextChar"/>
    <w:link w:val="CommentSubject"/>
    <w:uiPriority w:val="99"/>
    <w:semiHidden/>
    <w:rsid w:val="00EC4775"/>
    <w:rPr>
      <w:b/>
      <w:bCs/>
      <w:sz w:val="20"/>
      <w:szCs w:val="20"/>
    </w:rPr>
  </w:style>
  <w:style w:type="paragraph" w:styleId="BalloonText">
    <w:name w:val="Balloon Text"/>
    <w:basedOn w:val="Normal"/>
    <w:link w:val="BalloonTextChar"/>
    <w:uiPriority w:val="99"/>
    <w:semiHidden/>
    <w:unhideWhenUsed/>
    <w:rsid w:val="00EC47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4775"/>
    <w:rPr>
      <w:rFonts w:ascii="Segoe UI" w:hAnsi="Segoe UI" w:cs="Segoe UI"/>
      <w:sz w:val="18"/>
      <w:szCs w:val="18"/>
    </w:rPr>
  </w:style>
  <w:style w:type="paragraph" w:styleId="Revision">
    <w:name w:val="Revision"/>
    <w:hidden/>
    <w:uiPriority w:val="99"/>
    <w:semiHidden/>
    <w:rsid w:val="00762891"/>
    <w:pPr>
      <w:spacing w:after="0" w:line="240" w:lineRule="auto"/>
    </w:pPr>
  </w:style>
  <w:style w:type="character" w:styleId="Hyperlink">
    <w:name w:val="Hyperlink"/>
    <w:basedOn w:val="DefaultParagraphFont"/>
    <w:uiPriority w:val="99"/>
    <w:unhideWhenUsed/>
    <w:rsid w:val="00FF522C"/>
    <w:rPr>
      <w:color w:val="0563C1" w:themeColor="hyperlink"/>
      <w:u w:val="single"/>
    </w:rPr>
  </w:style>
  <w:style w:type="character" w:customStyle="1" w:styleId="Heading2Char">
    <w:name w:val="Heading 2 Char"/>
    <w:basedOn w:val="DefaultParagraphFont"/>
    <w:link w:val="Heading2"/>
    <w:uiPriority w:val="9"/>
    <w:semiHidden/>
    <w:rsid w:val="007C5BB2"/>
    <w:rPr>
      <w:rFonts w:ascii="Cambria" w:eastAsia="Times New Roman" w:hAnsi="Cambria" w:cs="Times New Roman"/>
      <w:b/>
      <w:bCs/>
      <w:color w:val="4F81BD"/>
      <w:sz w:val="26"/>
      <w:szCs w:val="26"/>
      <w:lang w:val="en-US"/>
    </w:rPr>
  </w:style>
  <w:style w:type="paragraph" w:styleId="ListParagraph">
    <w:name w:val="List Paragraph"/>
    <w:basedOn w:val="Normal"/>
    <w:uiPriority w:val="34"/>
    <w:qFormat/>
    <w:rsid w:val="002D3AB5"/>
    <w:pPr>
      <w:ind w:left="720"/>
      <w:contextualSpacing/>
    </w:pPr>
  </w:style>
  <w:style w:type="paragraph" w:styleId="Title">
    <w:name w:val="Title"/>
    <w:basedOn w:val="Normal"/>
    <w:next w:val="Normal"/>
    <w:link w:val="TitleChar"/>
    <w:uiPriority w:val="10"/>
    <w:qFormat/>
    <w:rsid w:val="00A81743"/>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TitleChar">
    <w:name w:val="Title Char"/>
    <w:basedOn w:val="DefaultParagraphFont"/>
    <w:link w:val="Title"/>
    <w:uiPriority w:val="10"/>
    <w:rsid w:val="00A81743"/>
    <w:rPr>
      <w:rFonts w:asciiTheme="majorHAnsi" w:eastAsiaTheme="majorEastAsia" w:hAnsiTheme="majorHAnsi" w:cstheme="majorBidi"/>
      <w:color w:val="323E4F" w:themeColor="text2" w:themeShade="BF"/>
      <w:spacing w:val="5"/>
      <w:kern w:val="28"/>
      <w:sz w:val="52"/>
      <w:szCs w:val="52"/>
      <w:lang w:val="en-US"/>
    </w:rPr>
  </w:style>
  <w:style w:type="paragraph" w:styleId="NormalWeb">
    <w:name w:val="Normal (Web)"/>
    <w:basedOn w:val="Normal"/>
    <w:uiPriority w:val="99"/>
    <w:unhideWhenUsed/>
    <w:rsid w:val="00A81743"/>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C86E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6E89"/>
  </w:style>
  <w:style w:type="paragraph" w:styleId="Footer">
    <w:name w:val="footer"/>
    <w:basedOn w:val="Normal"/>
    <w:link w:val="FooterChar"/>
    <w:uiPriority w:val="99"/>
    <w:unhideWhenUsed/>
    <w:rsid w:val="00C86E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6E89"/>
  </w:style>
  <w:style w:type="character" w:customStyle="1" w:styleId="Heading1Char">
    <w:name w:val="Heading 1 Char"/>
    <w:basedOn w:val="DefaultParagraphFont"/>
    <w:link w:val="Heading1"/>
    <w:uiPriority w:val="9"/>
    <w:rsid w:val="00874304"/>
    <w:rPr>
      <w:rFonts w:asciiTheme="majorHAnsi" w:eastAsiaTheme="majorEastAsia" w:hAnsiTheme="majorHAnsi" w:cstheme="majorBidi"/>
      <w:b/>
      <w:bCs/>
      <w:color w:val="2E74B5" w:themeColor="accent1" w:themeShade="BF"/>
      <w:sz w:val="28"/>
      <w:szCs w:val="28"/>
    </w:rPr>
  </w:style>
  <w:style w:type="character" w:customStyle="1" w:styleId="highlight">
    <w:name w:val="highlight"/>
    <w:basedOn w:val="DefaultParagraphFont"/>
    <w:rsid w:val="008743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7430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7C5BB2"/>
    <w:pPr>
      <w:keepNext/>
      <w:keepLines/>
      <w:spacing w:before="200" w:after="0" w:line="276" w:lineRule="auto"/>
      <w:outlineLvl w:val="1"/>
    </w:pPr>
    <w:rPr>
      <w:rFonts w:ascii="Cambria" w:eastAsia="Times New Roman" w:hAnsi="Cambria" w:cs="Times New Roman"/>
      <w:b/>
      <w:bCs/>
      <w:color w:val="4F81BD"/>
      <w:sz w:val="26"/>
      <w:szCs w:val="26"/>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04DD4"/>
    <w:pPr>
      <w:spacing w:after="0" w:line="240" w:lineRule="auto"/>
    </w:pPr>
  </w:style>
  <w:style w:type="character" w:customStyle="1" w:styleId="NoSpacingChar">
    <w:name w:val="No Spacing Char"/>
    <w:basedOn w:val="DefaultParagraphFont"/>
    <w:link w:val="NoSpacing"/>
    <w:uiPriority w:val="1"/>
    <w:rsid w:val="00A715CA"/>
  </w:style>
  <w:style w:type="paragraph" w:customStyle="1" w:styleId="EndNoteBibliographyTitle">
    <w:name w:val="EndNote Bibliography Title"/>
    <w:basedOn w:val="Normal"/>
    <w:link w:val="EndNoteBibliographyTitleChar"/>
    <w:rsid w:val="0015683D"/>
    <w:pPr>
      <w:spacing w:after="0"/>
      <w:jc w:val="center"/>
    </w:pPr>
    <w:rPr>
      <w:rFonts w:ascii="Calibri" w:hAnsi="Calibri" w:cs="Calibri"/>
      <w:noProof/>
      <w:lang w:val="en-US"/>
    </w:rPr>
  </w:style>
  <w:style w:type="character" w:customStyle="1" w:styleId="EndNoteBibliographyTitleChar">
    <w:name w:val="EndNote Bibliography Title Char"/>
    <w:basedOn w:val="NoSpacingChar"/>
    <w:link w:val="EndNoteBibliographyTitle"/>
    <w:rsid w:val="0015683D"/>
    <w:rPr>
      <w:rFonts w:ascii="Calibri" w:hAnsi="Calibri" w:cs="Calibri"/>
      <w:noProof/>
      <w:lang w:val="en-US"/>
    </w:rPr>
  </w:style>
  <w:style w:type="paragraph" w:customStyle="1" w:styleId="EndNoteBibliography">
    <w:name w:val="EndNote Bibliography"/>
    <w:basedOn w:val="Normal"/>
    <w:link w:val="EndNoteBibliographyChar"/>
    <w:rsid w:val="0015683D"/>
    <w:pPr>
      <w:spacing w:line="240" w:lineRule="auto"/>
    </w:pPr>
    <w:rPr>
      <w:rFonts w:ascii="Calibri" w:hAnsi="Calibri" w:cs="Calibri"/>
      <w:noProof/>
      <w:lang w:val="en-US"/>
    </w:rPr>
  </w:style>
  <w:style w:type="character" w:customStyle="1" w:styleId="EndNoteBibliographyChar">
    <w:name w:val="EndNote Bibliography Char"/>
    <w:basedOn w:val="NoSpacingChar"/>
    <w:link w:val="EndNoteBibliography"/>
    <w:rsid w:val="0015683D"/>
    <w:rPr>
      <w:rFonts w:ascii="Calibri" w:hAnsi="Calibri" w:cs="Calibri"/>
      <w:noProof/>
      <w:lang w:val="en-US"/>
    </w:rPr>
  </w:style>
  <w:style w:type="table" w:styleId="TableGrid">
    <w:name w:val="Table Grid"/>
    <w:basedOn w:val="TableNormal"/>
    <w:uiPriority w:val="39"/>
    <w:rsid w:val="00F00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C4775"/>
    <w:rPr>
      <w:sz w:val="16"/>
      <w:szCs w:val="16"/>
    </w:rPr>
  </w:style>
  <w:style w:type="paragraph" w:styleId="CommentText">
    <w:name w:val="annotation text"/>
    <w:basedOn w:val="Normal"/>
    <w:link w:val="CommentTextChar"/>
    <w:uiPriority w:val="99"/>
    <w:unhideWhenUsed/>
    <w:rsid w:val="00EC4775"/>
    <w:pPr>
      <w:spacing w:line="240" w:lineRule="auto"/>
    </w:pPr>
    <w:rPr>
      <w:sz w:val="20"/>
      <w:szCs w:val="20"/>
    </w:rPr>
  </w:style>
  <w:style w:type="character" w:customStyle="1" w:styleId="CommentTextChar">
    <w:name w:val="Comment Text Char"/>
    <w:basedOn w:val="DefaultParagraphFont"/>
    <w:link w:val="CommentText"/>
    <w:uiPriority w:val="99"/>
    <w:rsid w:val="00EC4775"/>
    <w:rPr>
      <w:sz w:val="20"/>
      <w:szCs w:val="20"/>
    </w:rPr>
  </w:style>
  <w:style w:type="paragraph" w:styleId="CommentSubject">
    <w:name w:val="annotation subject"/>
    <w:basedOn w:val="CommentText"/>
    <w:next w:val="CommentText"/>
    <w:link w:val="CommentSubjectChar"/>
    <w:uiPriority w:val="99"/>
    <w:semiHidden/>
    <w:unhideWhenUsed/>
    <w:rsid w:val="00EC4775"/>
    <w:rPr>
      <w:b/>
      <w:bCs/>
    </w:rPr>
  </w:style>
  <w:style w:type="character" w:customStyle="1" w:styleId="CommentSubjectChar">
    <w:name w:val="Comment Subject Char"/>
    <w:basedOn w:val="CommentTextChar"/>
    <w:link w:val="CommentSubject"/>
    <w:uiPriority w:val="99"/>
    <w:semiHidden/>
    <w:rsid w:val="00EC4775"/>
    <w:rPr>
      <w:b/>
      <w:bCs/>
      <w:sz w:val="20"/>
      <w:szCs w:val="20"/>
    </w:rPr>
  </w:style>
  <w:style w:type="paragraph" w:styleId="BalloonText">
    <w:name w:val="Balloon Text"/>
    <w:basedOn w:val="Normal"/>
    <w:link w:val="BalloonTextChar"/>
    <w:uiPriority w:val="99"/>
    <w:semiHidden/>
    <w:unhideWhenUsed/>
    <w:rsid w:val="00EC47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4775"/>
    <w:rPr>
      <w:rFonts w:ascii="Segoe UI" w:hAnsi="Segoe UI" w:cs="Segoe UI"/>
      <w:sz w:val="18"/>
      <w:szCs w:val="18"/>
    </w:rPr>
  </w:style>
  <w:style w:type="paragraph" w:styleId="Revision">
    <w:name w:val="Revision"/>
    <w:hidden/>
    <w:uiPriority w:val="99"/>
    <w:semiHidden/>
    <w:rsid w:val="00762891"/>
    <w:pPr>
      <w:spacing w:after="0" w:line="240" w:lineRule="auto"/>
    </w:pPr>
  </w:style>
  <w:style w:type="character" w:styleId="Hyperlink">
    <w:name w:val="Hyperlink"/>
    <w:basedOn w:val="DefaultParagraphFont"/>
    <w:uiPriority w:val="99"/>
    <w:unhideWhenUsed/>
    <w:rsid w:val="00FF522C"/>
    <w:rPr>
      <w:color w:val="0563C1" w:themeColor="hyperlink"/>
      <w:u w:val="single"/>
    </w:rPr>
  </w:style>
  <w:style w:type="character" w:customStyle="1" w:styleId="Heading2Char">
    <w:name w:val="Heading 2 Char"/>
    <w:basedOn w:val="DefaultParagraphFont"/>
    <w:link w:val="Heading2"/>
    <w:uiPriority w:val="9"/>
    <w:semiHidden/>
    <w:rsid w:val="007C5BB2"/>
    <w:rPr>
      <w:rFonts w:ascii="Cambria" w:eastAsia="Times New Roman" w:hAnsi="Cambria" w:cs="Times New Roman"/>
      <w:b/>
      <w:bCs/>
      <w:color w:val="4F81BD"/>
      <w:sz w:val="26"/>
      <w:szCs w:val="26"/>
      <w:lang w:val="en-US"/>
    </w:rPr>
  </w:style>
  <w:style w:type="paragraph" w:styleId="ListParagraph">
    <w:name w:val="List Paragraph"/>
    <w:basedOn w:val="Normal"/>
    <w:uiPriority w:val="34"/>
    <w:qFormat/>
    <w:rsid w:val="002D3AB5"/>
    <w:pPr>
      <w:ind w:left="720"/>
      <w:contextualSpacing/>
    </w:pPr>
  </w:style>
  <w:style w:type="paragraph" w:styleId="Title">
    <w:name w:val="Title"/>
    <w:basedOn w:val="Normal"/>
    <w:next w:val="Normal"/>
    <w:link w:val="TitleChar"/>
    <w:uiPriority w:val="10"/>
    <w:qFormat/>
    <w:rsid w:val="00A81743"/>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TitleChar">
    <w:name w:val="Title Char"/>
    <w:basedOn w:val="DefaultParagraphFont"/>
    <w:link w:val="Title"/>
    <w:uiPriority w:val="10"/>
    <w:rsid w:val="00A81743"/>
    <w:rPr>
      <w:rFonts w:asciiTheme="majorHAnsi" w:eastAsiaTheme="majorEastAsia" w:hAnsiTheme="majorHAnsi" w:cstheme="majorBidi"/>
      <w:color w:val="323E4F" w:themeColor="text2" w:themeShade="BF"/>
      <w:spacing w:val="5"/>
      <w:kern w:val="28"/>
      <w:sz w:val="52"/>
      <w:szCs w:val="52"/>
      <w:lang w:val="en-US"/>
    </w:rPr>
  </w:style>
  <w:style w:type="paragraph" w:styleId="NormalWeb">
    <w:name w:val="Normal (Web)"/>
    <w:basedOn w:val="Normal"/>
    <w:uiPriority w:val="99"/>
    <w:unhideWhenUsed/>
    <w:rsid w:val="00A81743"/>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C86E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6E89"/>
  </w:style>
  <w:style w:type="paragraph" w:styleId="Footer">
    <w:name w:val="footer"/>
    <w:basedOn w:val="Normal"/>
    <w:link w:val="FooterChar"/>
    <w:uiPriority w:val="99"/>
    <w:unhideWhenUsed/>
    <w:rsid w:val="00C86E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6E89"/>
  </w:style>
  <w:style w:type="character" w:customStyle="1" w:styleId="Heading1Char">
    <w:name w:val="Heading 1 Char"/>
    <w:basedOn w:val="DefaultParagraphFont"/>
    <w:link w:val="Heading1"/>
    <w:uiPriority w:val="9"/>
    <w:rsid w:val="00874304"/>
    <w:rPr>
      <w:rFonts w:asciiTheme="majorHAnsi" w:eastAsiaTheme="majorEastAsia" w:hAnsiTheme="majorHAnsi" w:cstheme="majorBidi"/>
      <w:b/>
      <w:bCs/>
      <w:color w:val="2E74B5" w:themeColor="accent1" w:themeShade="BF"/>
      <w:sz w:val="28"/>
      <w:szCs w:val="28"/>
    </w:rPr>
  </w:style>
  <w:style w:type="character" w:customStyle="1" w:styleId="highlight">
    <w:name w:val="highlight"/>
    <w:basedOn w:val="DefaultParagraphFont"/>
    <w:rsid w:val="008743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698922">
      <w:bodyDiv w:val="1"/>
      <w:marLeft w:val="0"/>
      <w:marRight w:val="0"/>
      <w:marTop w:val="0"/>
      <w:marBottom w:val="0"/>
      <w:divBdr>
        <w:top w:val="none" w:sz="0" w:space="0" w:color="auto"/>
        <w:left w:val="none" w:sz="0" w:space="0" w:color="auto"/>
        <w:bottom w:val="none" w:sz="0" w:space="0" w:color="auto"/>
        <w:right w:val="none" w:sz="0" w:space="0" w:color="auto"/>
      </w:divBdr>
    </w:div>
    <w:div w:id="1340305890">
      <w:bodyDiv w:val="1"/>
      <w:marLeft w:val="0"/>
      <w:marRight w:val="0"/>
      <w:marTop w:val="0"/>
      <w:marBottom w:val="0"/>
      <w:divBdr>
        <w:top w:val="none" w:sz="0" w:space="0" w:color="auto"/>
        <w:left w:val="none" w:sz="0" w:space="0" w:color="auto"/>
        <w:bottom w:val="none" w:sz="0" w:space="0" w:color="auto"/>
        <w:right w:val="none" w:sz="0" w:space="0" w:color="auto"/>
      </w:divBdr>
    </w:div>
    <w:div w:id="1504785940">
      <w:bodyDiv w:val="1"/>
      <w:marLeft w:val="0"/>
      <w:marRight w:val="0"/>
      <w:marTop w:val="0"/>
      <w:marBottom w:val="0"/>
      <w:divBdr>
        <w:top w:val="none" w:sz="0" w:space="0" w:color="auto"/>
        <w:left w:val="none" w:sz="0" w:space="0" w:color="auto"/>
        <w:bottom w:val="none" w:sz="0" w:space="0" w:color="auto"/>
        <w:right w:val="none" w:sz="0" w:space="0" w:color="auto"/>
      </w:divBdr>
    </w:div>
    <w:div w:id="1564019937">
      <w:bodyDiv w:val="1"/>
      <w:marLeft w:val="0"/>
      <w:marRight w:val="0"/>
      <w:marTop w:val="0"/>
      <w:marBottom w:val="0"/>
      <w:divBdr>
        <w:top w:val="none" w:sz="0" w:space="0" w:color="auto"/>
        <w:left w:val="none" w:sz="0" w:space="0" w:color="auto"/>
        <w:bottom w:val="none" w:sz="0" w:space="0" w:color="auto"/>
        <w:right w:val="none" w:sz="0" w:space="0" w:color="auto"/>
      </w:divBdr>
      <w:divsChild>
        <w:div w:id="123930457">
          <w:marLeft w:val="720"/>
          <w:marRight w:val="0"/>
          <w:marTop w:val="0"/>
          <w:marBottom w:val="0"/>
          <w:divBdr>
            <w:top w:val="none" w:sz="0" w:space="0" w:color="auto"/>
            <w:left w:val="none" w:sz="0" w:space="0" w:color="auto"/>
            <w:bottom w:val="none" w:sz="0" w:space="0" w:color="auto"/>
            <w:right w:val="none" w:sz="0" w:space="0" w:color="auto"/>
          </w:divBdr>
        </w:div>
        <w:div w:id="131942295">
          <w:marLeft w:val="720"/>
          <w:marRight w:val="0"/>
          <w:marTop w:val="0"/>
          <w:marBottom w:val="0"/>
          <w:divBdr>
            <w:top w:val="none" w:sz="0" w:space="0" w:color="auto"/>
            <w:left w:val="none" w:sz="0" w:space="0" w:color="auto"/>
            <w:bottom w:val="none" w:sz="0" w:space="0" w:color="auto"/>
            <w:right w:val="none" w:sz="0" w:space="0" w:color="auto"/>
          </w:divBdr>
        </w:div>
        <w:div w:id="1176073847">
          <w:marLeft w:val="2160"/>
          <w:marRight w:val="0"/>
          <w:marTop w:val="0"/>
          <w:marBottom w:val="0"/>
          <w:divBdr>
            <w:top w:val="none" w:sz="0" w:space="0" w:color="auto"/>
            <w:left w:val="none" w:sz="0" w:space="0" w:color="auto"/>
            <w:bottom w:val="none" w:sz="0" w:space="0" w:color="auto"/>
            <w:right w:val="none" w:sz="0" w:space="0" w:color="auto"/>
          </w:divBdr>
        </w:div>
        <w:div w:id="1190991286">
          <w:marLeft w:val="720"/>
          <w:marRight w:val="0"/>
          <w:marTop w:val="0"/>
          <w:marBottom w:val="0"/>
          <w:divBdr>
            <w:top w:val="none" w:sz="0" w:space="0" w:color="auto"/>
            <w:left w:val="none" w:sz="0" w:space="0" w:color="auto"/>
            <w:bottom w:val="none" w:sz="0" w:space="0" w:color="auto"/>
            <w:right w:val="none" w:sz="0" w:space="0" w:color="auto"/>
          </w:divBdr>
        </w:div>
        <w:div w:id="1447383877">
          <w:marLeft w:val="720"/>
          <w:marRight w:val="0"/>
          <w:marTop w:val="0"/>
          <w:marBottom w:val="0"/>
          <w:divBdr>
            <w:top w:val="none" w:sz="0" w:space="0" w:color="auto"/>
            <w:left w:val="none" w:sz="0" w:space="0" w:color="auto"/>
            <w:bottom w:val="none" w:sz="0" w:space="0" w:color="auto"/>
            <w:right w:val="none" w:sz="0" w:space="0" w:color="auto"/>
          </w:divBdr>
        </w:div>
        <w:div w:id="1648320764">
          <w:marLeft w:val="720"/>
          <w:marRight w:val="0"/>
          <w:marTop w:val="0"/>
          <w:marBottom w:val="0"/>
          <w:divBdr>
            <w:top w:val="none" w:sz="0" w:space="0" w:color="auto"/>
            <w:left w:val="none" w:sz="0" w:space="0" w:color="auto"/>
            <w:bottom w:val="none" w:sz="0" w:space="0" w:color="auto"/>
            <w:right w:val="none" w:sz="0" w:space="0" w:color="auto"/>
          </w:divBdr>
        </w:div>
        <w:div w:id="170598018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cbi.nlm.nih.gov/pubmed/?term=Faber%20AW%5BAuthor%5D&amp;cauthor=true&amp;cauthor_uid=17667488" TargetMode="External"/><Relationship Id="rId18" Type="http://schemas.openxmlformats.org/officeDocument/2006/relationships/hyperlink" Target="https://www.ncbi.nlm.nih.gov/pubmed/?term=Gaylord%20K%5BAuthor%5D&amp;cauthor=true&amp;cauthor_uid=21795888" TargetMode="External"/><Relationship Id="rId26" Type="http://schemas.openxmlformats.org/officeDocument/2006/relationships/hyperlink" Target="https://www.ncbi.nlm.nih.gov/pubmed/?term=May%20J%5BAuthor%5D&amp;cauthor=true&amp;cauthor_uid=29899576" TargetMode="External"/><Relationship Id="rId39" Type="http://schemas.openxmlformats.org/officeDocument/2006/relationships/hyperlink" Target="https://www.ncbi.nlm.nih.gov/pubmed/?term=Hunter%20OO%5BAuthor%5D&amp;cauthor=true&amp;cauthor_uid=28794840" TargetMode="External"/><Relationship Id="rId21" Type="http://schemas.openxmlformats.org/officeDocument/2006/relationships/hyperlink" Target="https://www.ncbi.nlm.nih.gov/pubmed/28598921" TargetMode="External"/><Relationship Id="rId34" Type="http://schemas.openxmlformats.org/officeDocument/2006/relationships/hyperlink" Target="https://www.ncbi.nlm.nih.gov/pubmed/?term=Schulman%20C%5BAuthor%5D&amp;cauthor=true&amp;cauthor_uid=28570305" TargetMode="External"/><Relationship Id="rId42" Type="http://schemas.openxmlformats.org/officeDocument/2006/relationships/hyperlink" Target="https://www.ncbi.nlm.nih.gov/pubmed/?term=Indovina%20P%5BAuthor%5D&amp;cauthor=true&amp;cauthor_uid=29485536" TargetMode="External"/><Relationship Id="rId47" Type="http://schemas.openxmlformats.org/officeDocument/2006/relationships/hyperlink" Target="https://www.ncbi.nlm.nih.gov/pubmed/?term=Antonio%20G%5BAuthor%5D&amp;cauthor=true&amp;cauthor_uid=29485536" TargetMode="External"/><Relationship Id="rId50" Type="http://schemas.openxmlformats.org/officeDocument/2006/relationships/hyperlink" Target="https://www.ncbi.nlm.nih.gov/pubmed/24263045" TargetMode="External"/><Relationship Id="rId55" Type="http://schemas.openxmlformats.org/officeDocument/2006/relationships/hyperlink" Target="https://www.ncbi.nlm.nih.gov/pubmed/29846193" TargetMode="External"/><Relationship Id="rId63" Type="http://schemas.openxmlformats.org/officeDocument/2006/relationships/hyperlink" Target="https://www.ncbi.nlm.nih.gov/pubmed/?term=Richards%20TL%5BAuthor%5D&amp;cauthor=true&amp;cauthor_uid=21264690" TargetMode="External"/><Relationship Id="rId68" Type="http://schemas.openxmlformats.org/officeDocument/2006/relationships/hyperlink" Target="https://www.ncbi.nlm.nih.gov/pubmed/?term=Christich%20AC%5BAuthor%5D&amp;cauthor=true&amp;cauthor_uid=23333181" TargetMode="External"/><Relationship Id="rId76"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s://www.ncbi.nlm.nih.gov/pubmed/?term=Phan%20H%5BAuthor%5D&amp;cauthor=true&amp;cauthor_uid=23333181" TargetMode="External"/><Relationship Id="rId2" Type="http://schemas.openxmlformats.org/officeDocument/2006/relationships/numbering" Target="numbering.xml"/><Relationship Id="rId16" Type="http://schemas.openxmlformats.org/officeDocument/2006/relationships/hyperlink" Target="https://www.ncbi.nlm.nih.gov/pubmed/?term=Morrow%20M%5BAuthor%5D&amp;cauthor=true&amp;cauthor_uid=21795888" TargetMode="External"/><Relationship Id="rId29" Type="http://schemas.openxmlformats.org/officeDocument/2006/relationships/hyperlink" Target="https://www.ncbi.nlm.nih.gov/pubmed/?term=The+Soothing+Sea%3A+A+Virtual+Coastal+Walk+Can+Reduce+Experienced+and+Recollected+Pain" TargetMode="External"/><Relationship Id="rId11" Type="http://schemas.openxmlformats.org/officeDocument/2006/relationships/hyperlink" Target="https://www.ncbi.nlm.nih.gov/pubmed/?term=van%20Twillert%20B%5BAuthor%5D&amp;cauthor=true&amp;cauthor_uid=17667488" TargetMode="External"/><Relationship Id="rId24" Type="http://schemas.openxmlformats.org/officeDocument/2006/relationships/hyperlink" Target="https://www.ncbi.nlm.nih.gov/pubmed/?term=Stone%20RJ%5BAuthor%5D&amp;cauthor=true&amp;cauthor_uid=29899576" TargetMode="External"/><Relationship Id="rId32" Type="http://schemas.openxmlformats.org/officeDocument/2006/relationships/hyperlink" Target="https://www.ncbi.nlm.nih.gov/pubmed/?term=McSherry%20T%5BAuthor%5D&amp;cauthor=true&amp;cauthor_uid=28570305" TargetMode="External"/><Relationship Id="rId37" Type="http://schemas.openxmlformats.org/officeDocument/2006/relationships/hyperlink" Target="https://www.ncbi.nlm.nih.gov/pubmed/?term=Kim%20TE%5BAuthor%5D&amp;cauthor=true&amp;cauthor_uid=28794840" TargetMode="External"/><Relationship Id="rId40" Type="http://schemas.openxmlformats.org/officeDocument/2006/relationships/hyperlink" Target="https://www.ncbi.nlm.nih.gov/pubmed/?term=Mariano%20ER%5BAuthor%5D&amp;cauthor=true&amp;cauthor_uid=28794840" TargetMode="External"/><Relationship Id="rId45" Type="http://schemas.openxmlformats.org/officeDocument/2006/relationships/hyperlink" Target="https://www.ncbi.nlm.nih.gov/pubmed/?term=Chirico%20A%5BAuthor%5D&amp;cauthor=true&amp;cauthor_uid=29485536" TargetMode="External"/><Relationship Id="rId53" Type="http://schemas.openxmlformats.org/officeDocument/2006/relationships/hyperlink" Target="https://www.ncbi.nlm.nih.gov/pubmed/29750696" TargetMode="External"/><Relationship Id="rId58" Type="http://schemas.openxmlformats.org/officeDocument/2006/relationships/hyperlink" Target="https://www.ncbi.nlm.nih.gov/pubmed/?term=Chambers%20GT%5BAuthor%5D&amp;cauthor=true&amp;cauthor_uid=21264690" TargetMode="External"/><Relationship Id="rId66" Type="http://schemas.openxmlformats.org/officeDocument/2006/relationships/hyperlink" Target="https://www.ncbi.nlm.nih.gov/pubmed/?term=Virtual+reality+as+an+adjunctive+non-pharmacologic+analgesic+for+acute+burn+pain+during+medical+procedures" TargetMode="External"/><Relationship Id="rId74"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s://www.ncbi.nlm.nih.gov/pubmed/?term=Hoffman%20HG%5BAuthor%5D&amp;cauthor=true&amp;cauthor_uid=21795888" TargetMode="External"/><Relationship Id="rId23" Type="http://schemas.openxmlformats.org/officeDocument/2006/relationships/hyperlink" Target="https://www.ncbi.nlm.nih.gov/pubmed/?term=White%20MP%5BAuthor%5D&amp;cauthor=true&amp;cauthor_uid=29899576" TargetMode="External"/><Relationship Id="rId28" Type="http://schemas.openxmlformats.org/officeDocument/2006/relationships/hyperlink" Target="https://www.ncbi.nlm.nih.gov/pubmed/?term=Moles%20DR%5BAuthor%5D&amp;cauthor=true&amp;cauthor_uid=29899576" TargetMode="External"/><Relationship Id="rId36" Type="http://schemas.openxmlformats.org/officeDocument/2006/relationships/hyperlink" Target="https://www.ncbi.nlm.nih.gov/pubmed/?term=Pandya%20PG%5BAuthor%5D&amp;cauthor=true&amp;cauthor_uid=28794840" TargetMode="External"/><Relationship Id="rId49" Type="http://schemas.openxmlformats.org/officeDocument/2006/relationships/hyperlink" Target="https://www.ncbi.nlm.nih.gov/pubmed/?term=Ekin%20A%5BAuthor%5D&amp;cauthor=true&amp;cauthor_uid=24263045" TargetMode="External"/><Relationship Id="rId57" Type="http://schemas.openxmlformats.org/officeDocument/2006/relationships/hyperlink" Target="https://www.ncbi.nlm.nih.gov/pubmed/?term=Hoffman%20HG%5BAuthor%5D&amp;cauthor=true&amp;cauthor_uid=21264690" TargetMode="External"/><Relationship Id="rId61" Type="http://schemas.openxmlformats.org/officeDocument/2006/relationships/hyperlink" Target="https://www.ncbi.nlm.nih.gov/pubmed/?term=Russell%20WJ%5BAuthor%5D&amp;cauthor=true&amp;cauthor_uid=21264690" TargetMode="External"/><Relationship Id="rId10" Type="http://schemas.openxmlformats.org/officeDocument/2006/relationships/hyperlink" Target="https://www.ncbi.nlm.nih.gov/pubmed/?term=Patterson%20DR%5BAuthor%5D&amp;cauthor=true&amp;cauthor_uid=11587113" TargetMode="External"/><Relationship Id="rId19" Type="http://schemas.openxmlformats.org/officeDocument/2006/relationships/hyperlink" Target="https://www.ncbi.nlm.nih.gov/pubmed/?term=McGhee%20LL%5BAuthor%5D&amp;cauthor=true&amp;cauthor_uid=21795888" TargetMode="External"/><Relationship Id="rId31" Type="http://schemas.openxmlformats.org/officeDocument/2006/relationships/hyperlink" Target="https://www.ncbi.nlm.nih.gov/pubmed/?term=Effectiveness+of+a+virtual+reality+intervention+to+minimize+pediatric+stress+and+pain+intensity+during+venipuncture" TargetMode="External"/><Relationship Id="rId44" Type="http://schemas.openxmlformats.org/officeDocument/2006/relationships/hyperlink" Target="https://www.ncbi.nlm.nih.gov/pubmed/?term=Gallo%20L%5BAuthor%5D&amp;cauthor=true&amp;cauthor_uid=29485536" TargetMode="External"/><Relationship Id="rId52" Type="http://schemas.openxmlformats.org/officeDocument/2006/relationships/hyperlink" Target="https://www.ncbi.nlm.nih.gov/pubmed/?term=Elia%20N%5BAuthor%5D&amp;cauthor=true&amp;cauthor_uid=29750696" TargetMode="External"/><Relationship Id="rId60" Type="http://schemas.openxmlformats.org/officeDocument/2006/relationships/hyperlink" Target="https://www.ncbi.nlm.nih.gov/pubmed/?term=Arceneaux%20LL%5BAuthor%5D&amp;cauthor=true&amp;cauthor_uid=21264690" TargetMode="External"/><Relationship Id="rId65" Type="http://schemas.openxmlformats.org/officeDocument/2006/relationships/hyperlink" Target="https://www.ncbi.nlm.nih.gov/pubmed/?term=Patterson%20DR%5BAuthor%5D&amp;cauthor=true&amp;cauthor_uid=21264690" TargetMode="External"/><Relationship Id="rId73" Type="http://schemas.openxmlformats.org/officeDocument/2006/relationships/hyperlink" Target="https://www.ncbi.nlm.nih.gov/pubmed/23333181" TargetMode="External"/><Relationship Id="rId4" Type="http://schemas.microsoft.com/office/2007/relationships/stylesWithEffects" Target="stylesWithEffects.xml"/><Relationship Id="rId9" Type="http://schemas.openxmlformats.org/officeDocument/2006/relationships/hyperlink" Target="https://www.ncbi.nlm.nih.gov/pubmed/?term=Hoffman%20HG%5BAuthor%5D&amp;cauthor=true&amp;cauthor_uid=11587113" TargetMode="External"/><Relationship Id="rId14" Type="http://schemas.openxmlformats.org/officeDocument/2006/relationships/hyperlink" Target="https://www.ncbi.nlm.nih.gov/pubmed/?term=Maani%20CV%5BAuthor%5D&amp;cauthor=true&amp;cauthor_uid=21795888" TargetMode="External"/><Relationship Id="rId22" Type="http://schemas.openxmlformats.org/officeDocument/2006/relationships/hyperlink" Target="https://www.ncbi.nlm.nih.gov/pubmed/?term=Tanja-Dijkstra%20K%5BAuthor%5D&amp;cauthor=true&amp;cauthor_uid=29899576" TargetMode="External"/><Relationship Id="rId27" Type="http://schemas.openxmlformats.org/officeDocument/2006/relationships/hyperlink" Target="https://www.ncbi.nlm.nih.gov/pubmed/?term=Mills%20I%5BAuthor%5D&amp;cauthor=true&amp;cauthor_uid=29899576" TargetMode="External"/><Relationship Id="rId30" Type="http://schemas.openxmlformats.org/officeDocument/2006/relationships/hyperlink" Target="https://www.ncbi.nlm.nih.gov/pubmed/?term=Piskorz%20J%5BAuthor%5D&amp;cauthor=true&amp;cauthor_uid=29155488" TargetMode="External"/><Relationship Id="rId35" Type="http://schemas.openxmlformats.org/officeDocument/2006/relationships/hyperlink" Target="https://www.ncbi.nlm.nih.gov/pubmed/?term=andomized%2C+Crossover+Study+of+Immersive+Virtual+Reality+to+Decrease+Opioid+Use+During+Painful+Wound+Care+Procedures+in+Adults." TargetMode="External"/><Relationship Id="rId43" Type="http://schemas.openxmlformats.org/officeDocument/2006/relationships/hyperlink" Target="https://www.ncbi.nlm.nih.gov/pubmed/?term=Barone%20D%5BAuthor%5D&amp;cauthor=true&amp;cauthor_uid=29485536" TargetMode="External"/><Relationship Id="rId48" Type="http://schemas.openxmlformats.org/officeDocument/2006/relationships/hyperlink" Target="https://www.ncbi.nlm.nih.gov/pubmed/?term=Virtual+Reality+as+a+Distraction+Intervention+to+Relieve+Pain+and+Distress+During+Medical+Procedures%3A+A+Comprehensive+Literature+Review.%22" TargetMode="External"/><Relationship Id="rId56" Type="http://schemas.openxmlformats.org/officeDocument/2006/relationships/hyperlink" Target="http://www.vergevr.com/" TargetMode="External"/><Relationship Id="rId64" Type="http://schemas.openxmlformats.org/officeDocument/2006/relationships/hyperlink" Target="https://www.ncbi.nlm.nih.gov/pubmed/?term=Sharar%20SR%5BAuthor%5D&amp;cauthor=true&amp;cauthor_uid=21264690" TargetMode="External"/><Relationship Id="rId69" Type="http://schemas.openxmlformats.org/officeDocument/2006/relationships/hyperlink" Target="https://www.ncbi.nlm.nih.gov/pubmed/?term=Jasiak%20KD%5BAuthor%5D&amp;cauthor=true&amp;cauthor_uid=23333181" TargetMode="External"/><Relationship Id="rId77"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www.ncbi.nlm.nih.gov/pubmed/?term=Kreienb%C3%BChl%20L%5BAuthor%5D&amp;cauthor=true&amp;cauthor_uid=29750696" TargetMode="External"/><Relationship Id="rId72" Type="http://schemas.openxmlformats.org/officeDocument/2006/relationships/hyperlink" Target="https://www.ncbi.nlm.nih.gov/pubmed/?term=Snyder%20EM%5BAuthor%5D&amp;cauthor=true&amp;cauthor_uid=23333181" TargetMode="External"/><Relationship Id="rId3" Type="http://schemas.openxmlformats.org/officeDocument/2006/relationships/styles" Target="styles.xml"/><Relationship Id="rId12" Type="http://schemas.openxmlformats.org/officeDocument/2006/relationships/hyperlink" Target="https://www.ncbi.nlm.nih.gov/pubmed/?term=Bremer%20M%5BAuthor%5D&amp;cauthor=true&amp;cauthor_uid=17667488" TargetMode="External"/><Relationship Id="rId17" Type="http://schemas.openxmlformats.org/officeDocument/2006/relationships/hyperlink" Target="https://www.ncbi.nlm.nih.gov/pubmed/?term=Maiers%20A%5BAuthor%5D&amp;cauthor=true&amp;cauthor_uid=21795888" TargetMode="External"/><Relationship Id="rId25" Type="http://schemas.openxmlformats.org/officeDocument/2006/relationships/hyperlink" Target="https://www.ncbi.nlm.nih.gov/pubmed/?term=Andrade%20J%5BAuthor%5D&amp;cauthor=true&amp;cauthor_uid=29899576" TargetMode="External"/><Relationship Id="rId33" Type="http://schemas.openxmlformats.org/officeDocument/2006/relationships/hyperlink" Target="https://www.ncbi.nlm.nih.gov/pubmed/?term=Gartner%20S%5BAuthor%5D&amp;cauthor=true&amp;cauthor_uid=28570305" TargetMode="External"/><Relationship Id="rId38" Type="http://schemas.openxmlformats.org/officeDocument/2006/relationships/hyperlink" Target="https://www.ncbi.nlm.nih.gov/pubmed/?term=Howard%20SK%5BAuthor%5D&amp;cauthor=true&amp;cauthor_uid=28794840" TargetMode="External"/><Relationship Id="rId46" Type="http://schemas.openxmlformats.org/officeDocument/2006/relationships/hyperlink" Target="https://www.ncbi.nlm.nih.gov/pubmed/?term=De%20Pietro%20G%5BAuthor%5D&amp;cauthor=true&amp;cauthor_uid=29485536" TargetMode="External"/><Relationship Id="rId59" Type="http://schemas.openxmlformats.org/officeDocument/2006/relationships/hyperlink" Target="https://www.ncbi.nlm.nih.gov/pubmed/?term=Meyer%20WJ%203rd%5BAuthor%5D&amp;cauthor=true&amp;cauthor_uid=21264690" TargetMode="External"/><Relationship Id="rId67" Type="http://schemas.openxmlformats.org/officeDocument/2006/relationships/hyperlink" Target="https://www.ncbi.nlm.nih.gov/pubmed/?term=Patanwala%20AE%5BAuthor%5D&amp;cauthor=true&amp;cauthor_uid=23333181" TargetMode="External"/><Relationship Id="rId20" Type="http://schemas.openxmlformats.org/officeDocument/2006/relationships/hyperlink" Target="https://www.ncbi.nlm.nih.gov/pubmed/?term=DeSocio%20PA%5BAuthor%5D&amp;cauthor=true&amp;cauthor_uid=21795888" TargetMode="External"/><Relationship Id="rId41" Type="http://schemas.openxmlformats.org/officeDocument/2006/relationships/hyperlink" Target="https://www.ncbi.nlm.nih.gov/pubmed/?term=Virtual+reality+distraction+decreases+routine+intravenous+sedation+and+procedure-related+pain+during+preoperative+adductor+canal+catheter+insertion%3A+a+retrospective+study." TargetMode="External"/><Relationship Id="rId54" Type="http://schemas.openxmlformats.org/officeDocument/2006/relationships/hyperlink" Target="https://www.ncbi.nlm.nih.gov/pubmed/?term=Myles%20PS%5BAuthor%5D&amp;cauthor=true&amp;cauthor_uid=29846193" TargetMode="External"/><Relationship Id="rId62" Type="http://schemas.openxmlformats.org/officeDocument/2006/relationships/hyperlink" Target="https://www.ncbi.nlm.nih.gov/pubmed/?term=Seibel%20EJ%5BAuthor%5D&amp;cauthor=true&amp;cauthor_uid=21264690" TargetMode="External"/><Relationship Id="rId70" Type="http://schemas.openxmlformats.org/officeDocument/2006/relationships/hyperlink" Target="https://www.ncbi.nlm.nih.gov/pubmed/?term=Edwards%20CJ%5BAuthor%5D&amp;cauthor=true&amp;cauthor_uid=23333181" TargetMode="External"/><Relationship Id="rId75"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2CD60-A6C3-42D5-B93C-A4DFCA87A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22</Pages>
  <Words>6842</Words>
  <Characters>39004</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SVHM</Company>
  <LinksUpToDate>false</LinksUpToDate>
  <CharactersWithSpaces>45755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peter</cp:lastModifiedBy>
  <cp:revision>10</cp:revision>
  <cp:lastPrinted>2016-07-07T18:42:00Z</cp:lastPrinted>
  <dcterms:created xsi:type="dcterms:W3CDTF">2018-07-30T03:59:00Z</dcterms:created>
  <dcterms:modified xsi:type="dcterms:W3CDTF">2018-07-30T04:43:00Z</dcterms:modified>
</cp:coreProperties>
</file>