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47B77" w14:textId="236D5720" w:rsidR="00657AB5" w:rsidRDefault="00657AB5" w:rsidP="00657AB5">
      <w:pPr>
        <w:spacing w:line="360" w:lineRule="auto"/>
        <w:jc w:val="center"/>
        <w:rPr>
          <w:b/>
          <w:bCs/>
          <w:sz w:val="24"/>
          <w:szCs w:val="24"/>
        </w:rPr>
      </w:pPr>
      <w:r>
        <w:rPr>
          <w:b/>
          <w:bCs/>
        </w:rPr>
        <w:t>Intr</w:t>
      </w:r>
      <w:r>
        <w:rPr>
          <w:b/>
          <w:bCs/>
        </w:rPr>
        <w:t>a</w:t>
      </w:r>
      <w:r>
        <w:rPr>
          <w:b/>
          <w:bCs/>
        </w:rPr>
        <w:t>operative infusion of Lidocaine</w:t>
      </w:r>
      <w:r>
        <w:rPr>
          <w:b/>
          <w:bCs/>
        </w:rPr>
        <w:t xml:space="preserve"> 2%</w:t>
      </w:r>
      <w:r>
        <w:rPr>
          <w:b/>
          <w:bCs/>
        </w:rPr>
        <w:t xml:space="preserve"> reduces  postoperative Fentanyl requirements for</w:t>
      </w:r>
      <w:r>
        <w:rPr>
          <w:b/>
          <w:bCs/>
        </w:rPr>
        <w:t xml:space="preserve"> postoperative pain control</w:t>
      </w:r>
      <w:bookmarkStart w:id="0" w:name="_GoBack"/>
      <w:bookmarkEnd w:id="0"/>
      <w:r>
        <w:rPr>
          <w:b/>
          <w:bCs/>
        </w:rPr>
        <w:t xml:space="preserve"> on</w:t>
      </w:r>
      <w:r>
        <w:rPr>
          <w:b/>
          <w:bCs/>
        </w:rPr>
        <w:t xml:space="preserve"> patients undergoing renal transplantation.  </w:t>
      </w:r>
      <w:r>
        <w:rPr>
          <w:b/>
          <w:bCs/>
          <w:sz w:val="24"/>
          <w:szCs w:val="24"/>
        </w:rPr>
        <w:t xml:space="preserve">  </w:t>
      </w:r>
    </w:p>
    <w:p w14:paraId="48123A2C" w14:textId="77777777" w:rsidR="001B4B2D" w:rsidRPr="00B003A5" w:rsidRDefault="009110E7" w:rsidP="000758E7">
      <w:pPr>
        <w:spacing w:line="360" w:lineRule="auto"/>
        <w:jc w:val="both"/>
        <w:rPr>
          <w:b/>
          <w:bCs/>
          <w:sz w:val="24"/>
          <w:szCs w:val="24"/>
        </w:rPr>
      </w:pPr>
      <w:r w:rsidRPr="00B003A5">
        <w:rPr>
          <w:b/>
          <w:bCs/>
          <w:sz w:val="24"/>
          <w:szCs w:val="24"/>
        </w:rPr>
        <w:t xml:space="preserve">Introduction </w:t>
      </w:r>
      <w:r w:rsidR="00415D5B" w:rsidRPr="00B003A5">
        <w:rPr>
          <w:b/>
          <w:bCs/>
          <w:sz w:val="24"/>
          <w:szCs w:val="24"/>
        </w:rPr>
        <w:t xml:space="preserve"> </w:t>
      </w:r>
    </w:p>
    <w:p w14:paraId="7E4E9128" w14:textId="52147C66" w:rsidR="00415D5B" w:rsidRDefault="009110E7" w:rsidP="000758E7">
      <w:pPr>
        <w:spacing w:line="360" w:lineRule="auto"/>
        <w:jc w:val="both"/>
      </w:pPr>
      <w:r>
        <w:t>There are c</w:t>
      </w:r>
      <w:r w:rsidR="00415D5B">
        <w:t xml:space="preserve">ommon problems that face the patient </w:t>
      </w:r>
      <w:r>
        <w:t xml:space="preserve">undergoing renal transplantation include nausea, </w:t>
      </w:r>
      <w:r w:rsidR="00415D5B">
        <w:t>vomiting</w:t>
      </w:r>
      <w:r>
        <w:t>,</w:t>
      </w:r>
      <w:r w:rsidR="00DD0D32">
        <w:t xml:space="preserve"> </w:t>
      </w:r>
      <w:r>
        <w:t xml:space="preserve">paralytic </w:t>
      </w:r>
      <w:r w:rsidR="00DD0D32">
        <w:t>ileus</w:t>
      </w:r>
      <w:r>
        <w:t xml:space="preserve">, postoperative pain and </w:t>
      </w:r>
      <w:r w:rsidR="000758E7">
        <w:t>cognitive dysfunction</w:t>
      </w:r>
      <w:r w:rsidR="00A52813">
        <w:t>.</w:t>
      </w:r>
      <w:r>
        <w:t xml:space="preserve"> Opioids given either through intravenous</w:t>
      </w:r>
      <w:r w:rsidR="00A52813">
        <w:t xml:space="preserve"> or </w:t>
      </w:r>
      <w:r>
        <w:t xml:space="preserve">through </w:t>
      </w:r>
      <w:r w:rsidR="000758E7">
        <w:t>patient control analgesia (PCA)</w:t>
      </w:r>
      <w:r w:rsidR="00A52813">
        <w:t xml:space="preserve"> aimed to reduce the postoperative pain yet still associated with opioid </w:t>
      </w:r>
      <w:r>
        <w:t>complications such as nausea,</w:t>
      </w:r>
      <w:r w:rsidR="00A52813">
        <w:t xml:space="preserve"> constipation</w:t>
      </w:r>
      <w:r w:rsidR="000758E7">
        <w:t>, respiratory distress</w:t>
      </w:r>
      <w:r w:rsidR="006C720C">
        <w:t xml:space="preserve">. 1 </w:t>
      </w:r>
      <w:r w:rsidR="004C78F5">
        <w:t xml:space="preserve">The target is </w:t>
      </w:r>
      <w:r w:rsidR="00DB7AF9">
        <w:t>to avoid the complications of opioids using alternatives that add to analgesia witho</w:t>
      </w:r>
      <w:r w:rsidR="00F639A5">
        <w:t>ut exaggerating the side</w:t>
      </w:r>
      <w:r>
        <w:t xml:space="preserve"> </w:t>
      </w:r>
      <w:r w:rsidR="00F639A5">
        <w:t>effects.</w:t>
      </w:r>
      <w:r w:rsidR="006C720C">
        <w:t>2</w:t>
      </w:r>
      <w:r w:rsidR="00F639A5">
        <w:t xml:space="preserve"> The postoperative pain is explained as inflammatory reaction with local and systemic response and as neuropathic pain that occurs after damaged nerve fibers</w:t>
      </w:r>
      <w:r w:rsidR="004C78F5">
        <w:t xml:space="preserve"> that</w:t>
      </w:r>
      <w:r w:rsidR="003961B7">
        <w:t xml:space="preserve"> lowers the </w:t>
      </w:r>
      <w:r w:rsidR="004C78F5">
        <w:t>threshold</w:t>
      </w:r>
      <w:r w:rsidR="003961B7">
        <w:t xml:space="preserve"> to pain.</w:t>
      </w:r>
      <w:r w:rsidR="006C720C">
        <w:t>3</w:t>
      </w:r>
      <w:r w:rsidR="004C78F5">
        <w:t xml:space="preserve">  L</w:t>
      </w:r>
      <w:r w:rsidR="003961B7">
        <w:t xml:space="preserve">idocaine </w:t>
      </w:r>
      <w:r w:rsidR="00F41BCB">
        <w:t xml:space="preserve">has shown </w:t>
      </w:r>
      <w:r w:rsidR="00855DFC">
        <w:t>analgesic</w:t>
      </w:r>
      <w:r w:rsidR="00B003A5">
        <w:t xml:space="preserve"> </w:t>
      </w:r>
      <w:r w:rsidR="00855DFC">
        <w:t>and anti-inflammatory properties .</w:t>
      </w:r>
      <w:r w:rsidR="006C720C">
        <w:t>4</w:t>
      </w:r>
    </w:p>
    <w:p w14:paraId="2723B04E" w14:textId="77777777" w:rsidR="004C78F5" w:rsidRPr="0062283A" w:rsidRDefault="004C78F5" w:rsidP="000758E7">
      <w:pPr>
        <w:spacing w:line="360" w:lineRule="auto"/>
        <w:jc w:val="both"/>
        <w:rPr>
          <w:b/>
          <w:bCs/>
        </w:rPr>
      </w:pPr>
      <w:r w:rsidRPr="0062283A">
        <w:rPr>
          <w:b/>
          <w:bCs/>
        </w:rPr>
        <w:t>Aim of the study</w:t>
      </w:r>
    </w:p>
    <w:p w14:paraId="1F2F7515" w14:textId="223C6760" w:rsidR="00855DFC" w:rsidRDefault="009B2E1C" w:rsidP="000758E7">
      <w:pPr>
        <w:spacing w:line="360" w:lineRule="auto"/>
        <w:jc w:val="both"/>
      </w:pPr>
      <w:r>
        <w:t>The usage of intr</w:t>
      </w:r>
      <w:r w:rsidR="00B003A5">
        <w:t>a</w:t>
      </w:r>
      <w:r>
        <w:t>operative</w:t>
      </w:r>
      <w:r w:rsidR="00DD1A31">
        <w:t xml:space="preserve"> </w:t>
      </w:r>
      <w:r>
        <w:t>lidocaine 2% infusion reduces postoperative opioid requirements</w:t>
      </w:r>
      <w:r w:rsidR="0038028E">
        <w:t xml:space="preserve"> during</w:t>
      </w:r>
      <w:r w:rsidR="0083132F">
        <w:t xml:space="preserve"> renal transplantation</w:t>
      </w:r>
      <w:r w:rsidR="0038028E">
        <w:t xml:space="preserve"> surgery</w:t>
      </w:r>
      <w:r w:rsidR="0032382A">
        <w:t>.</w:t>
      </w:r>
    </w:p>
    <w:p w14:paraId="7AAB6ACF" w14:textId="77777777" w:rsidR="00180705" w:rsidRPr="0062283A" w:rsidRDefault="00180705" w:rsidP="000758E7">
      <w:pPr>
        <w:spacing w:line="360" w:lineRule="auto"/>
        <w:jc w:val="both"/>
        <w:rPr>
          <w:b/>
          <w:bCs/>
        </w:rPr>
      </w:pPr>
      <w:r w:rsidRPr="0062283A">
        <w:rPr>
          <w:b/>
          <w:bCs/>
        </w:rPr>
        <w:t>Material and methods</w:t>
      </w:r>
    </w:p>
    <w:p w14:paraId="1D2D92A5" w14:textId="590F7D38" w:rsidR="00855DFC" w:rsidRDefault="00180705" w:rsidP="000758E7">
      <w:pPr>
        <w:spacing w:line="360" w:lineRule="auto"/>
        <w:jc w:val="both"/>
      </w:pPr>
      <w:r>
        <w:t xml:space="preserve">After </w:t>
      </w:r>
      <w:r w:rsidR="004C78F5">
        <w:t xml:space="preserve">the approval of ethical committee of King Faisal specialized </w:t>
      </w:r>
      <w:r>
        <w:t>hospital and Research Center the stud</w:t>
      </w:r>
      <w:r w:rsidR="008345D6">
        <w:t>y was conduct</w:t>
      </w:r>
      <w:r w:rsidR="0083132F">
        <w:t>ed between December 2016 and September</w:t>
      </w:r>
      <w:r w:rsidR="008345D6">
        <w:t xml:space="preserve"> </w:t>
      </w:r>
      <w:r w:rsidR="000F5294">
        <w:t>2017. Inclusion</w:t>
      </w:r>
      <w:r w:rsidR="008345D6">
        <w:t xml:space="preserve"> criteria</w:t>
      </w:r>
      <w:r w:rsidR="0083132F">
        <w:t xml:space="preserve"> includes recipients for renal transplantation</w:t>
      </w:r>
      <w:r w:rsidR="0038028E">
        <w:t xml:space="preserve"> surgery within age more than 16</w:t>
      </w:r>
      <w:r w:rsidR="0083132F">
        <w:t xml:space="preserve"> years old up to</w:t>
      </w:r>
      <w:r w:rsidR="0038028E">
        <w:t xml:space="preserve"> 7</w:t>
      </w:r>
      <w:r w:rsidR="00D86A45">
        <w:t>0</w:t>
      </w:r>
      <w:r w:rsidR="0083132F">
        <w:t xml:space="preserve"> years old,</w:t>
      </w:r>
      <w:r w:rsidR="009B2E1C">
        <w:t xml:space="preserve"> they </w:t>
      </w:r>
      <w:r w:rsidR="00F83E82">
        <w:t xml:space="preserve">did dialysis session one day before surgery, patients received their antihypertensive medications </w:t>
      </w:r>
      <w:r w:rsidR="009B2E1C">
        <w:t xml:space="preserve">preoperative </w:t>
      </w:r>
      <w:r w:rsidR="00F83E82">
        <w:t xml:space="preserve">and </w:t>
      </w:r>
      <w:r w:rsidR="0083132F">
        <w:t>ASA III patients</w:t>
      </w:r>
      <w:r w:rsidR="00D86A45">
        <w:t>.</w:t>
      </w:r>
      <w:r w:rsidR="004C78F5">
        <w:t xml:space="preserve"> </w:t>
      </w:r>
      <w:r w:rsidR="00D86A45">
        <w:t xml:space="preserve">Exclusion criteria </w:t>
      </w:r>
      <w:r w:rsidR="004C78F5">
        <w:t>history of liver cell</w:t>
      </w:r>
      <w:r>
        <w:t xml:space="preserve"> f</w:t>
      </w:r>
      <w:r w:rsidR="00927B2F">
        <w:t>ailure,</w:t>
      </w:r>
      <w:r w:rsidR="0038028E">
        <w:t xml:space="preserve"> heart failure,</w:t>
      </w:r>
      <w:r w:rsidR="00927B2F">
        <w:t xml:space="preserve"> chronic use of opioids</w:t>
      </w:r>
      <w:r>
        <w:t xml:space="preserve">, </w:t>
      </w:r>
      <w:r w:rsidR="004C78F5">
        <w:t>and allergy</w:t>
      </w:r>
      <w:r w:rsidR="0083132F">
        <w:t xml:space="preserve"> to the used medications either lido</w:t>
      </w:r>
      <w:r w:rsidR="009B2E1C">
        <w:t>caine 2% or</w:t>
      </w:r>
      <w:r w:rsidR="0083132F">
        <w:t xml:space="preserve"> fentanyl</w:t>
      </w:r>
      <w:r w:rsidR="009B2E1C">
        <w:t xml:space="preserve"> and</w:t>
      </w:r>
      <w:r w:rsidR="00927B2F">
        <w:t xml:space="preserve"> i</w:t>
      </w:r>
      <w:r w:rsidR="0038028E">
        <w:t>nability to comprehended pain</w:t>
      </w:r>
      <w:r w:rsidR="00D86A45">
        <w:t>. Fifty patients</w:t>
      </w:r>
      <w:r w:rsidR="00927B2F">
        <w:t xml:space="preserve"> were r</w:t>
      </w:r>
      <w:r w:rsidR="000F5294">
        <w:t xml:space="preserve">andomly scheduled </w:t>
      </w:r>
      <w:r w:rsidR="0038113E">
        <w:t xml:space="preserve">and divided equally </w:t>
      </w:r>
      <w:r w:rsidR="000F5294">
        <w:t>into 2</w:t>
      </w:r>
      <w:r w:rsidR="00311EBB">
        <w:t xml:space="preserve"> groups: </w:t>
      </w:r>
      <w:r w:rsidR="0038113E">
        <w:t xml:space="preserve">Control group: </w:t>
      </w:r>
      <w:r w:rsidR="000F5294">
        <w:t>F</w:t>
      </w:r>
      <w:r w:rsidR="00927B2F">
        <w:t>enta</w:t>
      </w:r>
      <w:r w:rsidR="000F5294">
        <w:t>nyl (F</w:t>
      </w:r>
      <w:r w:rsidR="00927B2F">
        <w:t>)</w:t>
      </w:r>
      <w:r w:rsidR="00A63661">
        <w:t xml:space="preserve"> group</w:t>
      </w:r>
      <w:r w:rsidR="00D86A45">
        <w:t xml:space="preserve"> and</w:t>
      </w:r>
      <w:r w:rsidR="000F5294">
        <w:t xml:space="preserve"> </w:t>
      </w:r>
      <w:r w:rsidR="0038113E">
        <w:t xml:space="preserve">study group: </w:t>
      </w:r>
      <w:r w:rsidR="000F5294">
        <w:t>lidocaine</w:t>
      </w:r>
      <w:r w:rsidR="0038113E">
        <w:t xml:space="preserve"> 2%</w:t>
      </w:r>
      <w:r w:rsidR="00927B2F">
        <w:t xml:space="preserve"> </w:t>
      </w:r>
      <w:r w:rsidR="000F5294">
        <w:t>(L</w:t>
      </w:r>
      <w:r w:rsidR="00927B2F">
        <w:t>)</w:t>
      </w:r>
      <w:r w:rsidR="0038028E">
        <w:t xml:space="preserve"> group</w:t>
      </w:r>
      <w:r w:rsidR="00927B2F">
        <w:t xml:space="preserve">. On arrival of the patient to the operating theatre, </w:t>
      </w:r>
      <w:r w:rsidR="004947E0">
        <w:t xml:space="preserve">and </w:t>
      </w:r>
      <w:r w:rsidR="00927B2F">
        <w:t>baseline values of hea</w:t>
      </w:r>
      <w:r w:rsidR="008345D6">
        <w:t>rt rate, oxygen saturation, non-</w:t>
      </w:r>
      <w:r w:rsidR="00D86A45">
        <w:t>invasive blood pressure</w:t>
      </w:r>
      <w:r w:rsidR="00927B2F">
        <w:t xml:space="preserve"> were recorded.</w:t>
      </w:r>
      <w:r w:rsidR="00D86A45">
        <w:t xml:space="preserve"> </w:t>
      </w:r>
      <w:r w:rsidR="000C335F">
        <w:t xml:space="preserve">Patients </w:t>
      </w:r>
      <w:r w:rsidR="004E14BF">
        <w:t>received inst</w:t>
      </w:r>
      <w:r w:rsidR="009B2E1C">
        <w:t>r</w:t>
      </w:r>
      <w:r w:rsidR="004E14BF">
        <w:t>uctions</w:t>
      </w:r>
      <w:r w:rsidR="00F83E82">
        <w:t xml:space="preserve"> </w:t>
      </w:r>
      <w:r w:rsidR="009B2E1C">
        <w:t>about fentanyl PCA</w:t>
      </w:r>
      <w:r w:rsidR="000C335F">
        <w:t xml:space="preserve"> </w:t>
      </w:r>
      <w:r w:rsidR="009B2E1C">
        <w:t>-(</w:t>
      </w:r>
      <w:r w:rsidR="000C335F">
        <w:t>patient controlled analgesia</w:t>
      </w:r>
      <w:r w:rsidR="009B2E1C">
        <w:t>)-</w:t>
      </w:r>
      <w:r w:rsidR="00F83E82">
        <w:t xml:space="preserve"> and how to use postoperatively</w:t>
      </w:r>
      <w:r w:rsidR="000C335F">
        <w:t>, p</w:t>
      </w:r>
      <w:r w:rsidR="00A63661">
        <w:t>atients were pre medicated by</w:t>
      </w:r>
      <w:r w:rsidR="00C1579E">
        <w:t xml:space="preserve"> </w:t>
      </w:r>
      <w:r w:rsidR="00A63661">
        <w:t xml:space="preserve">midazolam </w:t>
      </w:r>
      <w:r w:rsidR="008345D6">
        <w:t>0</w:t>
      </w:r>
      <w:r w:rsidR="00A63661">
        <w:t>.03mg/kg IV</w:t>
      </w:r>
      <w:r w:rsidR="00D86A45">
        <w:t xml:space="preserve"> in the induction area</w:t>
      </w:r>
      <w:r w:rsidR="0038113E">
        <w:t xml:space="preserve"> with maximum dose</w:t>
      </w:r>
      <w:r w:rsidR="0038028E">
        <w:t xml:space="preserve"> of</w:t>
      </w:r>
      <w:r w:rsidR="0038113E">
        <w:t xml:space="preserve"> 2 mg</w:t>
      </w:r>
      <w:r w:rsidR="008345D6">
        <w:t>. Induction of anesthesia started by Propofol</w:t>
      </w:r>
      <w:r w:rsidR="00927F66">
        <w:t xml:space="preserve"> 1.5-</w:t>
      </w:r>
      <w:r w:rsidR="008345D6">
        <w:t xml:space="preserve"> 2.5mg/kg IV,</w:t>
      </w:r>
      <w:r w:rsidR="004947E0">
        <w:t xml:space="preserve"> </w:t>
      </w:r>
      <w:r w:rsidR="00927F66">
        <w:t>regarding the Fentanyl: for the control grou</w:t>
      </w:r>
      <w:r w:rsidR="0038028E">
        <w:t>p ( fentanyl group)</w:t>
      </w:r>
      <w:r w:rsidR="009B2E1C">
        <w:t xml:space="preserve"> patient received </w:t>
      </w:r>
      <w:r w:rsidR="0038028E">
        <w:t>3 ug/kg</w:t>
      </w:r>
      <w:r w:rsidR="00927F66">
        <w:t xml:space="preserve"> through the whole </w:t>
      </w:r>
      <w:r w:rsidR="00927F66">
        <w:lastRenderedPageBreak/>
        <w:t>procedure, regarding</w:t>
      </w:r>
      <w:r w:rsidR="000F5294">
        <w:t xml:space="preserve"> the lidocaine group</w:t>
      </w:r>
      <w:r w:rsidR="00927F66">
        <w:t>: they received fentanyl 1.5 ug/kg</w:t>
      </w:r>
      <w:r w:rsidR="0038113E">
        <w:t xml:space="preserve"> with</w:t>
      </w:r>
      <w:r w:rsidR="00761EEF">
        <w:t xml:space="preserve"> </w:t>
      </w:r>
      <w:r w:rsidR="00C543B6">
        <w:t xml:space="preserve">loading dose of </w:t>
      </w:r>
      <w:r w:rsidR="00761EEF">
        <w:t>lidocaine</w:t>
      </w:r>
      <w:r w:rsidR="00927F66">
        <w:t xml:space="preserve"> 2%</w:t>
      </w:r>
      <w:r w:rsidR="00761EEF">
        <w:t xml:space="preserve"> </w:t>
      </w:r>
      <w:r w:rsidR="00C543B6">
        <w:t xml:space="preserve"> </w:t>
      </w:r>
      <w:r w:rsidR="00761EEF">
        <w:t xml:space="preserve">1.5 mg/kg </w:t>
      </w:r>
      <w:r w:rsidR="0038113E">
        <w:t xml:space="preserve"> followed by</w:t>
      </w:r>
      <w:r w:rsidR="00C543B6">
        <w:t xml:space="preserve"> maintenance dose</w:t>
      </w:r>
      <w:r w:rsidR="00927F66">
        <w:t xml:space="preserve"> 2mg/kg/hr</w:t>
      </w:r>
      <w:r w:rsidR="00C543B6">
        <w:t xml:space="preserve"> in the form of infusion</w:t>
      </w:r>
      <w:r w:rsidR="0038113E">
        <w:t xml:space="preserve"> started </w:t>
      </w:r>
      <w:r w:rsidR="0038028E">
        <w:t>with the induction</w:t>
      </w:r>
      <w:r w:rsidR="00927F66">
        <w:t>. Patient intubated by</w:t>
      </w:r>
      <w:r w:rsidR="0038113E">
        <w:t xml:space="preserve"> </w:t>
      </w:r>
      <w:r w:rsidR="00927F66">
        <w:t xml:space="preserve">oral </w:t>
      </w:r>
      <w:r w:rsidR="0038113E">
        <w:t>endotracheal tube</w:t>
      </w:r>
      <w:r w:rsidR="008345D6">
        <w:t xml:space="preserve"> using Atracrium as muscle relaxant with </w:t>
      </w:r>
      <w:r w:rsidR="0038028E">
        <w:t xml:space="preserve">intubation </w:t>
      </w:r>
      <w:r w:rsidR="008345D6">
        <w:t>dose 0.5 mg/kg IV</w:t>
      </w:r>
      <w:r w:rsidR="00CC63B5">
        <w:t>,</w:t>
      </w:r>
      <w:r w:rsidR="00C543B6">
        <w:t xml:space="preserve"> and</w:t>
      </w:r>
      <w:r w:rsidR="00156CAC">
        <w:t xml:space="preserve"> incremental</w:t>
      </w:r>
      <w:r w:rsidR="0038028E">
        <w:t xml:space="preserve"> dose</w:t>
      </w:r>
      <w:r w:rsidR="00156CAC">
        <w:t>s</w:t>
      </w:r>
      <w:r w:rsidR="0038028E">
        <w:t xml:space="preserve"> 0.1mg/kg monitored by train of four neuromuscular monitor. </w:t>
      </w:r>
      <w:r w:rsidR="00CC63B5">
        <w:t xml:space="preserve"> </w:t>
      </w:r>
      <w:r w:rsidR="0025096B">
        <w:t xml:space="preserve">Anesthesia was maintained with sevoflurane (inhalational gas) with end tidal concentration adjusted to </w:t>
      </w:r>
      <w:r w:rsidR="00C543B6">
        <w:t>keep BIS value between 35 and 50</w:t>
      </w:r>
      <w:r w:rsidR="0025096B">
        <w:t xml:space="preserve"> and to maintain heart rate and mean arterial blood pressure w</w:t>
      </w:r>
      <w:r w:rsidR="00156CAC">
        <w:t>ithin 20% of the baseline value</w:t>
      </w:r>
      <w:r w:rsidR="0025096B">
        <w:t xml:space="preserve">. The mechanical ventilation with mixture of oxygen and air (Fi O2 40%) adjusted to keep O2 saturation between 95%-100%with minute ventilation to maintain CO2 between 35 and </w:t>
      </w:r>
      <w:r w:rsidR="00156CAC">
        <w:t>45 mmHg</w:t>
      </w:r>
      <w:r w:rsidR="0025096B">
        <w:t xml:space="preserve">. </w:t>
      </w:r>
      <w:r w:rsidR="000C335F" w:rsidRPr="000C335F">
        <w:t xml:space="preserve">No supplemental fentanyl was given to patients in either group during maintenance of anesthesia. </w:t>
      </w:r>
      <w:r w:rsidR="0025096B">
        <w:t>Temperature monitoring by nasal temperature probe to maintain patient temperatur</w:t>
      </w:r>
      <w:r w:rsidR="00156CAC">
        <w:t xml:space="preserve">e between 35-37 degree </w:t>
      </w:r>
      <w:r w:rsidR="00C543B6">
        <w:t>Celsius</w:t>
      </w:r>
      <w:r w:rsidR="0038113E">
        <w:t>.</w:t>
      </w:r>
      <w:r w:rsidR="008345D6">
        <w:t xml:space="preserve"> </w:t>
      </w:r>
      <w:r w:rsidR="00156CAC">
        <w:t>Post induction, i</w:t>
      </w:r>
      <w:r w:rsidR="00CC63B5">
        <w:t xml:space="preserve">nvasive blood pressure monitoring by 20 </w:t>
      </w:r>
      <w:r w:rsidR="00C543B6">
        <w:t>gauge</w:t>
      </w:r>
      <w:r w:rsidR="00CC63B5">
        <w:t xml:space="preserve"> cannula inserted in</w:t>
      </w:r>
      <w:r w:rsidR="000F5294">
        <w:t xml:space="preserve"> the</w:t>
      </w:r>
      <w:r w:rsidR="00CC63B5">
        <w:t xml:space="preserve"> radial artery on the nondependent hand or the hand with no arteriovenous fistula for dialysis. </w:t>
      </w:r>
      <w:r w:rsidR="008345D6">
        <w:t>Central ven</w:t>
      </w:r>
      <w:r w:rsidR="00156CAC">
        <w:t>ous line inserted ultrasound guided, central venous pressure (CVP)</w:t>
      </w:r>
      <w:r w:rsidR="008345D6">
        <w:t xml:space="preserve"> monitoring</w:t>
      </w:r>
      <w:r w:rsidR="00156CAC">
        <w:t xml:space="preserve"> will be measured continuously</w:t>
      </w:r>
      <w:r w:rsidR="00761EEF">
        <w:t xml:space="preserve">. </w:t>
      </w:r>
      <w:r w:rsidR="00F83E82">
        <w:t>All surgeries were performed by two surgeons who were highly experienced in renal transplantation surgery.   Patient received</w:t>
      </w:r>
      <w:r w:rsidR="00C543B6">
        <w:t xml:space="preserve"> antibiotics after induction within</w:t>
      </w:r>
      <w:r w:rsidR="00F83E82">
        <w:t xml:space="preserve"> 30 minutes before skin incision, with methyl prednisolone 250 mg, infusion of immune suppressive medications</w:t>
      </w:r>
      <w:r w:rsidR="000A02B4">
        <w:t xml:space="preserve"> (Basiliximab or Anti Thymocyte globulin</w:t>
      </w:r>
      <w:r w:rsidR="00C543B6">
        <w:t>)</w:t>
      </w:r>
      <w:r w:rsidR="00F83E82">
        <w:t>, intravenous paracetamol 1000 mg and Diphenhydramine 12.5 mg as the recommendation</w:t>
      </w:r>
      <w:r w:rsidR="000A02B4">
        <w:t>s</w:t>
      </w:r>
      <w:r w:rsidR="00F83E82">
        <w:t xml:space="preserve"> by the nephrology team </w:t>
      </w:r>
      <w:r w:rsidR="00C543B6">
        <w:t xml:space="preserve">responsible for renal transplantation </w:t>
      </w:r>
      <w:r w:rsidR="00F83E82">
        <w:t>in our institute.</w:t>
      </w:r>
      <w:r w:rsidR="00C543B6" w:rsidRPr="00C543B6">
        <w:t xml:space="preserve"> </w:t>
      </w:r>
      <w:r w:rsidR="00C543B6">
        <w:t>Patient received Granisteron 1 mg 15 minutes before skin closure, as antiemetic medication.</w:t>
      </w:r>
      <w:r w:rsidR="00F83E82">
        <w:t xml:space="preserve">  </w:t>
      </w:r>
      <w:r w:rsidR="00761EEF">
        <w:t>Lidocaine infusion stopped with the begi</w:t>
      </w:r>
      <w:r w:rsidR="00156CAC">
        <w:t>nning of skin closure.</w:t>
      </w:r>
      <w:r w:rsidR="000A02B4">
        <w:t xml:space="preserve"> </w:t>
      </w:r>
      <w:r w:rsidR="00851639">
        <w:t>Episodes of hypotension occurred with any group wer</w:t>
      </w:r>
      <w:r w:rsidR="008345D6">
        <w:t>e managed by Phenylepherine</w:t>
      </w:r>
      <w:r w:rsidR="00C543B6">
        <w:t xml:space="preserve"> increments</w:t>
      </w:r>
      <w:r w:rsidR="002A0274">
        <w:t>, episodes of bradycardia occurred with any gr</w:t>
      </w:r>
      <w:r w:rsidR="008345D6">
        <w:t xml:space="preserve">oup were managed by Atropine. </w:t>
      </w:r>
      <w:r w:rsidR="00156CAC">
        <w:t xml:space="preserve">Infusion of crystalloids </w:t>
      </w:r>
      <w:r w:rsidR="002A0274">
        <w:t>i</w:t>
      </w:r>
      <w:r w:rsidR="008345D6">
        <w:t>ntraoperative</w:t>
      </w:r>
      <w:r w:rsidR="00156CAC">
        <w:t>ly done with</w:t>
      </w:r>
      <w:r w:rsidR="008345D6">
        <w:t xml:space="preserve"> the surgeo</w:t>
      </w:r>
      <w:r w:rsidR="00156CAC">
        <w:t>n recommendations, mostly infusion of crystalloids was 35-50 ml/kg.</w:t>
      </w:r>
      <w:r w:rsidR="008345D6">
        <w:t xml:space="preserve"> N</w:t>
      </w:r>
      <w:r w:rsidR="00031062">
        <w:t xml:space="preserve">euromuscular block was antagonized with neostigmine 0.05mg/kg </w:t>
      </w:r>
      <w:r w:rsidR="008345D6">
        <w:t>and glycopyrrolate 0.01 mg/kg IV.</w:t>
      </w:r>
      <w:r w:rsidR="007A3CCC" w:rsidRPr="007A3CCC">
        <w:t xml:space="preserve"> </w:t>
      </w:r>
      <w:r w:rsidR="007A3CCC">
        <w:t>Patients were transferred to the PACU where the blood pressure, pulse, respiration and temperature were monitored and recorded by nurses who were blinded to the randomization sequence. According to study protocol, the PACU nursing staff a</w:t>
      </w:r>
      <w:r w:rsidR="00C543B6">
        <w:t xml:space="preserve">dministered fentanyl 25 ug every IV boluses for postoperative pain relief, to be administrated every five minutes up to a maximum </w:t>
      </w:r>
      <w:r w:rsidR="00965C13">
        <w:t>of 200 ug</w:t>
      </w:r>
      <w:r w:rsidR="007A3CCC">
        <w:t xml:space="preserve"> to keep VAS less than 4</w:t>
      </w:r>
      <w:r w:rsidR="000C335F" w:rsidRPr="000C335F">
        <w:t xml:space="preserve"> </w:t>
      </w:r>
      <w:r w:rsidR="000C335F">
        <w:t>until the patient regained his full conscious where he started usage of fentanyl patient controlled analgesia (PCA)</w:t>
      </w:r>
      <w:r w:rsidR="007A3CCC">
        <w:t>. Pain assessed by visual analogue score (0–10 scale, where 0 = no pain, and 10 = excruciat</w:t>
      </w:r>
      <w:r w:rsidR="000C335F">
        <w:t>ing pain)</w:t>
      </w:r>
      <w:r w:rsidR="007A3CCC">
        <w:t xml:space="preserve">. The </w:t>
      </w:r>
      <w:r w:rsidR="007A3CCC">
        <w:lastRenderedPageBreak/>
        <w:t xml:space="preserve">nurses evaluated </w:t>
      </w:r>
      <w:r w:rsidR="000C335F">
        <w:t xml:space="preserve">the </w:t>
      </w:r>
      <w:r w:rsidR="007A3CCC">
        <w:t xml:space="preserve">patients every five minutes or at the patient’s request. </w:t>
      </w:r>
      <w:r w:rsidR="000C335F">
        <w:t>Patient</w:t>
      </w:r>
      <w:r w:rsidR="008345D6">
        <w:t xml:space="preserve"> transferred to renal transplant unit (RTU)</w:t>
      </w:r>
      <w:r w:rsidR="00CC63B5">
        <w:t xml:space="preserve"> for his hospital stay</w:t>
      </w:r>
      <w:r w:rsidR="000C335F">
        <w:t xml:space="preserve"> after fulfilling criteria for discharge, and endorsed to his primary nurse</w:t>
      </w:r>
      <w:r w:rsidR="00CC63B5">
        <w:t>.</w:t>
      </w:r>
      <w:r w:rsidR="008345D6">
        <w:t xml:space="preserve"> </w:t>
      </w:r>
    </w:p>
    <w:p w14:paraId="40F906FD" w14:textId="77777777" w:rsidR="001A1A2A" w:rsidRDefault="0062283A" w:rsidP="001A1A2A">
      <w:pPr>
        <w:spacing w:line="360" w:lineRule="auto"/>
        <w:jc w:val="both"/>
        <w:rPr>
          <w:b/>
          <w:bCs/>
        </w:rPr>
      </w:pPr>
      <w:r w:rsidRPr="0062283A">
        <w:rPr>
          <w:b/>
          <w:bCs/>
        </w:rPr>
        <w:t>Results</w:t>
      </w:r>
    </w:p>
    <w:p w14:paraId="7D32DFE7" w14:textId="48D0FF40" w:rsidR="00757780" w:rsidRPr="00D83908" w:rsidRDefault="00757780" w:rsidP="001A1A2A">
      <w:pPr>
        <w:spacing w:line="360" w:lineRule="auto"/>
        <w:jc w:val="both"/>
        <w:rPr>
          <w:b/>
          <w:bCs/>
        </w:rPr>
      </w:pPr>
      <w:r w:rsidRPr="00D83908">
        <w:rPr>
          <w:rFonts w:ascii="Times New Roman" w:eastAsia="Calibri" w:hAnsi="Times New Roman" w:cs="Times New Roman"/>
        </w:rPr>
        <w:t>Data were collected, coded, tabulated, and then analyzed using SPSS® 16.0 statistical package. Variables were presented as mean and standard</w:t>
      </w:r>
      <w:r w:rsidR="00D83908" w:rsidRPr="00D83908">
        <w:rPr>
          <w:rFonts w:ascii="Times New Roman" w:eastAsia="Calibri" w:hAnsi="Times New Roman" w:cs="Times New Roman"/>
        </w:rPr>
        <w:t xml:space="preserve"> </w:t>
      </w:r>
      <w:r w:rsidRPr="00D83908">
        <w:rPr>
          <w:rFonts w:ascii="Times New Roman" w:eastAsia="Calibri" w:hAnsi="Times New Roman" w:cs="Times New Roman"/>
        </w:rPr>
        <w:t>deviation,</w:t>
      </w:r>
      <w:r w:rsidR="00D83908" w:rsidRPr="00D83908">
        <w:rPr>
          <w:rFonts w:ascii="Times New Roman" w:eastAsia="Calibri" w:hAnsi="Times New Roman" w:cs="Times New Roman"/>
        </w:rPr>
        <w:t xml:space="preserve"> </w:t>
      </w:r>
      <w:r w:rsidRPr="00D83908">
        <w:rPr>
          <w:rFonts w:ascii="Times New Roman" w:eastAsia="Calibri" w:hAnsi="Times New Roman" w:cs="Times New Roman"/>
        </w:rPr>
        <w:t>and analyzed using unpaired t-test. Any difference with p-value &lt;0.05 was considered statistically significant.</w:t>
      </w:r>
      <w:bookmarkStart w:id="1" w:name="_Hlk498436155"/>
      <w:r w:rsidRPr="00D83908">
        <w:rPr>
          <w:rFonts w:ascii="Times New Roman" w:eastAsia="Calibri" w:hAnsi="Times New Roman" w:cs="Times New Roman"/>
        </w:rPr>
        <w:t xml:space="preserve"> Sample size calculation revealed that at least 25 patients are needed in each group to detect a difference of at least 50mcg in the average consumption of opioid in the recovery, assuming that the standard deviation of this variable is 54.4 according to Seveine etal, 2008. With significant level of 0.05, and a power of 0.9</w:t>
      </w:r>
      <w:bookmarkEnd w:id="1"/>
      <w:r w:rsidRPr="00D83908">
        <w:rPr>
          <w:rFonts w:ascii="Times New Roman" w:eastAsia="Calibri" w:hAnsi="Times New Roman" w:cs="Times New Roman"/>
        </w:rPr>
        <w:t>.</w:t>
      </w:r>
    </w:p>
    <w:p w14:paraId="61C8F677" w14:textId="0198ADD7" w:rsidR="00FA3A96" w:rsidRPr="00757780" w:rsidRDefault="00FA3A96" w:rsidP="00FA3A96">
      <w:pPr>
        <w:rPr>
          <w:rFonts w:ascii="Calibri" w:eastAsia="Calibri" w:hAnsi="Calibri" w:cs="Arial"/>
          <w:b/>
          <w:bCs/>
          <w:sz w:val="16"/>
          <w:szCs w:val="16"/>
        </w:rPr>
      </w:pPr>
      <w:r w:rsidRPr="001A1A2A">
        <w:rPr>
          <w:rFonts w:ascii="Calibri" w:eastAsia="Calibri" w:hAnsi="Calibri" w:cs="Arial"/>
          <w:b/>
          <w:bCs/>
          <w:sz w:val="16"/>
          <w:szCs w:val="16"/>
        </w:rPr>
        <w:t>Table (1) Body weight</w:t>
      </w:r>
    </w:p>
    <w:tbl>
      <w:tblPr>
        <w:tblW w:w="9241" w:type="dxa"/>
        <w:tblInd w:w="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3"/>
        <w:gridCol w:w="3752"/>
        <w:gridCol w:w="1114"/>
        <w:gridCol w:w="1112"/>
        <w:gridCol w:w="1575"/>
        <w:gridCol w:w="1605"/>
      </w:tblGrid>
      <w:tr w:rsidR="00FA3A96" w:rsidRPr="00757780" w14:paraId="68B0B7B0" w14:textId="77777777" w:rsidTr="00D83908">
        <w:trPr>
          <w:cantSplit/>
          <w:trHeight w:val="121"/>
          <w:tblHeader/>
        </w:trPr>
        <w:tc>
          <w:tcPr>
            <w:tcW w:w="83" w:type="dxa"/>
            <w:vMerge w:val="restart"/>
            <w:tcBorders>
              <w:left w:val="single" w:sz="16" w:space="0" w:color="000000"/>
              <w:right w:val="nil"/>
            </w:tcBorders>
            <w:shd w:val="clear" w:color="auto" w:fill="FFFFFF"/>
            <w:tcMar>
              <w:top w:w="30" w:type="dxa"/>
              <w:left w:w="30" w:type="dxa"/>
              <w:bottom w:w="30" w:type="dxa"/>
              <w:right w:w="30" w:type="dxa"/>
            </w:tcMar>
          </w:tcPr>
          <w:p w14:paraId="75A419A8" w14:textId="77777777" w:rsidR="00FA3A96" w:rsidRPr="00757780" w:rsidRDefault="00FA3A96" w:rsidP="001229D1">
            <w:pPr>
              <w:widowControl w:val="0"/>
              <w:autoSpaceDE w:val="0"/>
              <w:autoSpaceDN w:val="0"/>
              <w:adjustRightInd w:val="0"/>
              <w:spacing w:after="0" w:line="320" w:lineRule="atLeast"/>
              <w:rPr>
                <w:rFonts w:ascii="Arial" w:eastAsia="Times New Roman" w:hAnsi="Arial" w:cs="Arial"/>
                <w:color w:val="000000"/>
                <w:sz w:val="16"/>
                <w:szCs w:val="16"/>
              </w:rPr>
            </w:pPr>
          </w:p>
        </w:tc>
        <w:tc>
          <w:tcPr>
            <w:tcW w:w="3752" w:type="dxa"/>
            <w:tcBorders>
              <w:left w:val="nil"/>
              <w:bottom w:val="nil"/>
              <w:right w:val="single" w:sz="16" w:space="0" w:color="000000"/>
            </w:tcBorders>
            <w:shd w:val="clear" w:color="auto" w:fill="FFFFFF"/>
            <w:tcMar>
              <w:top w:w="30" w:type="dxa"/>
              <w:left w:w="30" w:type="dxa"/>
              <w:bottom w:w="30" w:type="dxa"/>
              <w:right w:w="30" w:type="dxa"/>
            </w:tcMar>
          </w:tcPr>
          <w:p w14:paraId="3379277C" w14:textId="77777777" w:rsidR="00FA3A96" w:rsidRPr="00757780" w:rsidRDefault="00FA3A96" w:rsidP="001229D1">
            <w:pPr>
              <w:widowControl w:val="0"/>
              <w:autoSpaceDE w:val="0"/>
              <w:autoSpaceDN w:val="0"/>
              <w:adjustRightInd w:val="0"/>
              <w:spacing w:after="0" w:line="320" w:lineRule="atLeast"/>
              <w:rPr>
                <w:rFonts w:ascii="Arial" w:eastAsia="Times New Roman" w:hAnsi="Arial" w:cs="Arial"/>
                <w:color w:val="000000"/>
                <w:sz w:val="16"/>
                <w:szCs w:val="16"/>
              </w:rPr>
            </w:pPr>
            <w:r w:rsidRPr="00757780">
              <w:rPr>
                <w:rFonts w:ascii="Arial" w:eastAsia="Times New Roman" w:hAnsi="Arial" w:cs="Arial"/>
                <w:color w:val="000000"/>
                <w:sz w:val="16"/>
                <w:szCs w:val="16"/>
              </w:rPr>
              <w:t>Lidocaine</w:t>
            </w:r>
            <w:r w:rsidRPr="001A1A2A">
              <w:rPr>
                <w:rFonts w:ascii="Arial" w:eastAsia="Times New Roman" w:hAnsi="Arial" w:cs="Arial"/>
                <w:color w:val="000000"/>
                <w:sz w:val="16"/>
                <w:szCs w:val="16"/>
              </w:rPr>
              <w:t xml:space="preserve"> group</w:t>
            </w:r>
          </w:p>
        </w:tc>
        <w:tc>
          <w:tcPr>
            <w:tcW w:w="1114" w:type="dxa"/>
            <w:tcBorders>
              <w:left w:val="single" w:sz="16" w:space="0" w:color="000000"/>
              <w:bottom w:val="nil"/>
            </w:tcBorders>
            <w:shd w:val="clear" w:color="auto" w:fill="FFFFFF"/>
            <w:tcMar>
              <w:top w:w="30" w:type="dxa"/>
              <w:left w:w="30" w:type="dxa"/>
              <w:bottom w:w="30" w:type="dxa"/>
              <w:right w:w="30" w:type="dxa"/>
            </w:tcMar>
            <w:vAlign w:val="center"/>
          </w:tcPr>
          <w:p w14:paraId="49EC97CA" w14:textId="77777777" w:rsidR="00FA3A96" w:rsidRPr="00757780" w:rsidRDefault="00FA3A96" w:rsidP="001229D1">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25</w:t>
            </w:r>
          </w:p>
        </w:tc>
        <w:tc>
          <w:tcPr>
            <w:tcW w:w="1112" w:type="dxa"/>
            <w:tcBorders>
              <w:bottom w:val="nil"/>
            </w:tcBorders>
            <w:shd w:val="clear" w:color="auto" w:fill="FFFFFF"/>
            <w:tcMar>
              <w:top w:w="30" w:type="dxa"/>
              <w:left w:w="30" w:type="dxa"/>
              <w:bottom w:w="30" w:type="dxa"/>
              <w:right w:w="30" w:type="dxa"/>
            </w:tcMar>
            <w:vAlign w:val="center"/>
          </w:tcPr>
          <w:p w14:paraId="1487EEC3" w14:textId="77777777" w:rsidR="00FA3A96" w:rsidRPr="00757780" w:rsidRDefault="00FA3A96" w:rsidP="001229D1">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69.92</w:t>
            </w:r>
          </w:p>
        </w:tc>
        <w:tc>
          <w:tcPr>
            <w:tcW w:w="1575" w:type="dxa"/>
            <w:tcBorders>
              <w:bottom w:val="nil"/>
            </w:tcBorders>
            <w:shd w:val="clear" w:color="auto" w:fill="FFFFFF"/>
            <w:tcMar>
              <w:top w:w="30" w:type="dxa"/>
              <w:left w:w="30" w:type="dxa"/>
              <w:bottom w:w="30" w:type="dxa"/>
              <w:right w:w="30" w:type="dxa"/>
            </w:tcMar>
            <w:vAlign w:val="center"/>
          </w:tcPr>
          <w:p w14:paraId="3DDF622B" w14:textId="77777777" w:rsidR="00FA3A96" w:rsidRPr="00757780" w:rsidRDefault="00FA3A96" w:rsidP="001229D1">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±12.052</w:t>
            </w:r>
          </w:p>
        </w:tc>
        <w:tc>
          <w:tcPr>
            <w:tcW w:w="1605" w:type="dxa"/>
            <w:tcBorders>
              <w:bottom w:val="nil"/>
              <w:right w:val="single" w:sz="16" w:space="0" w:color="000000"/>
            </w:tcBorders>
            <w:shd w:val="clear" w:color="auto" w:fill="FFFFFF"/>
            <w:tcMar>
              <w:top w:w="30" w:type="dxa"/>
              <w:left w:w="30" w:type="dxa"/>
              <w:bottom w:w="30" w:type="dxa"/>
              <w:right w:w="30" w:type="dxa"/>
            </w:tcMar>
            <w:vAlign w:val="center"/>
          </w:tcPr>
          <w:p w14:paraId="3DC5CF5B" w14:textId="77777777" w:rsidR="00FA3A96" w:rsidRPr="00757780" w:rsidRDefault="00FA3A96" w:rsidP="001229D1">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0.601</w:t>
            </w:r>
          </w:p>
        </w:tc>
      </w:tr>
      <w:tr w:rsidR="00FA3A96" w:rsidRPr="00757780" w14:paraId="4990C82B" w14:textId="77777777" w:rsidTr="00D83908">
        <w:trPr>
          <w:cantSplit/>
          <w:trHeight w:val="301"/>
          <w:tblHeader/>
        </w:trPr>
        <w:tc>
          <w:tcPr>
            <w:tcW w:w="83" w:type="dxa"/>
            <w:vMerge/>
            <w:tcBorders>
              <w:left w:val="single" w:sz="16" w:space="0" w:color="000000"/>
              <w:right w:val="nil"/>
            </w:tcBorders>
            <w:shd w:val="clear" w:color="auto" w:fill="FFFFFF"/>
            <w:tcMar>
              <w:top w:w="30" w:type="dxa"/>
              <w:left w:w="30" w:type="dxa"/>
              <w:bottom w:w="30" w:type="dxa"/>
              <w:right w:w="30" w:type="dxa"/>
            </w:tcMar>
          </w:tcPr>
          <w:p w14:paraId="5E83CEC6" w14:textId="77777777" w:rsidR="00FA3A96" w:rsidRPr="00757780" w:rsidRDefault="00FA3A96" w:rsidP="001229D1">
            <w:pPr>
              <w:widowControl w:val="0"/>
              <w:autoSpaceDE w:val="0"/>
              <w:autoSpaceDN w:val="0"/>
              <w:adjustRightInd w:val="0"/>
              <w:spacing w:after="0" w:line="240" w:lineRule="auto"/>
              <w:rPr>
                <w:rFonts w:ascii="Arial" w:eastAsia="Times New Roman" w:hAnsi="Arial" w:cs="Arial"/>
                <w:color w:val="000000"/>
                <w:sz w:val="16"/>
                <w:szCs w:val="16"/>
              </w:rPr>
            </w:pPr>
          </w:p>
        </w:tc>
        <w:tc>
          <w:tcPr>
            <w:tcW w:w="3752" w:type="dxa"/>
            <w:tcBorders>
              <w:top w:val="nil"/>
              <w:left w:val="nil"/>
              <w:right w:val="single" w:sz="16" w:space="0" w:color="000000"/>
            </w:tcBorders>
            <w:shd w:val="clear" w:color="auto" w:fill="FFFFFF"/>
            <w:tcMar>
              <w:top w:w="30" w:type="dxa"/>
              <w:left w:w="30" w:type="dxa"/>
              <w:bottom w:w="30" w:type="dxa"/>
              <w:right w:w="30" w:type="dxa"/>
            </w:tcMar>
          </w:tcPr>
          <w:p w14:paraId="6070F1D9" w14:textId="77777777" w:rsidR="00FA3A96" w:rsidRPr="00757780" w:rsidRDefault="00FA3A96" w:rsidP="001229D1">
            <w:pPr>
              <w:widowControl w:val="0"/>
              <w:autoSpaceDE w:val="0"/>
              <w:autoSpaceDN w:val="0"/>
              <w:adjustRightInd w:val="0"/>
              <w:spacing w:after="0" w:line="320" w:lineRule="atLeast"/>
              <w:rPr>
                <w:rFonts w:ascii="Arial" w:eastAsia="Times New Roman" w:hAnsi="Arial" w:cs="Arial"/>
                <w:color w:val="000000"/>
                <w:sz w:val="16"/>
                <w:szCs w:val="16"/>
              </w:rPr>
            </w:pPr>
            <w:r w:rsidRPr="00757780">
              <w:rPr>
                <w:rFonts w:ascii="Arial" w:eastAsia="Times New Roman" w:hAnsi="Arial" w:cs="Arial"/>
                <w:color w:val="000000"/>
                <w:sz w:val="16"/>
                <w:szCs w:val="16"/>
              </w:rPr>
              <w:t>Fentanyl</w:t>
            </w:r>
            <w:r w:rsidRPr="001A1A2A">
              <w:rPr>
                <w:rFonts w:ascii="Arial" w:eastAsia="Times New Roman" w:hAnsi="Arial" w:cs="Arial"/>
                <w:color w:val="000000"/>
                <w:sz w:val="16"/>
                <w:szCs w:val="16"/>
              </w:rPr>
              <w:t xml:space="preserve"> group</w:t>
            </w:r>
          </w:p>
        </w:tc>
        <w:tc>
          <w:tcPr>
            <w:tcW w:w="1114" w:type="dxa"/>
            <w:tcBorders>
              <w:top w:val="nil"/>
              <w:left w:val="single" w:sz="16" w:space="0" w:color="000000"/>
            </w:tcBorders>
            <w:shd w:val="clear" w:color="auto" w:fill="FFFFFF"/>
            <w:tcMar>
              <w:top w:w="30" w:type="dxa"/>
              <w:left w:w="30" w:type="dxa"/>
              <w:bottom w:w="30" w:type="dxa"/>
              <w:right w:w="30" w:type="dxa"/>
            </w:tcMar>
            <w:vAlign w:val="center"/>
          </w:tcPr>
          <w:p w14:paraId="67FAEEB3" w14:textId="77777777" w:rsidR="00FA3A96" w:rsidRPr="00757780" w:rsidRDefault="00FA3A96" w:rsidP="001229D1">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25</w:t>
            </w:r>
          </w:p>
        </w:tc>
        <w:tc>
          <w:tcPr>
            <w:tcW w:w="1112" w:type="dxa"/>
            <w:tcBorders>
              <w:top w:val="nil"/>
            </w:tcBorders>
            <w:shd w:val="clear" w:color="auto" w:fill="FFFFFF"/>
            <w:tcMar>
              <w:top w:w="30" w:type="dxa"/>
              <w:left w:w="30" w:type="dxa"/>
              <w:bottom w:w="30" w:type="dxa"/>
              <w:right w:w="30" w:type="dxa"/>
            </w:tcMar>
            <w:vAlign w:val="center"/>
          </w:tcPr>
          <w:p w14:paraId="20A433F4" w14:textId="77777777" w:rsidR="00FA3A96" w:rsidRPr="00757780" w:rsidRDefault="00FA3A96" w:rsidP="001229D1">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67.44</w:t>
            </w:r>
          </w:p>
        </w:tc>
        <w:tc>
          <w:tcPr>
            <w:tcW w:w="1575" w:type="dxa"/>
            <w:tcBorders>
              <w:top w:val="nil"/>
            </w:tcBorders>
            <w:shd w:val="clear" w:color="auto" w:fill="FFFFFF"/>
            <w:tcMar>
              <w:top w:w="30" w:type="dxa"/>
              <w:left w:w="30" w:type="dxa"/>
              <w:bottom w:w="30" w:type="dxa"/>
              <w:right w:w="30" w:type="dxa"/>
            </w:tcMar>
            <w:vAlign w:val="center"/>
          </w:tcPr>
          <w:p w14:paraId="5669D2D5" w14:textId="77777777" w:rsidR="00FA3A96" w:rsidRPr="00757780" w:rsidRDefault="00FA3A96" w:rsidP="001229D1">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±20.183</w:t>
            </w:r>
          </w:p>
        </w:tc>
        <w:tc>
          <w:tcPr>
            <w:tcW w:w="1605" w:type="dxa"/>
            <w:tcBorders>
              <w:top w:val="nil"/>
              <w:right w:val="single" w:sz="16" w:space="0" w:color="000000"/>
            </w:tcBorders>
            <w:shd w:val="clear" w:color="auto" w:fill="FFFFFF"/>
            <w:tcMar>
              <w:top w:w="30" w:type="dxa"/>
              <w:left w:w="30" w:type="dxa"/>
              <w:bottom w:w="30" w:type="dxa"/>
              <w:right w:w="30" w:type="dxa"/>
            </w:tcMar>
            <w:vAlign w:val="center"/>
          </w:tcPr>
          <w:p w14:paraId="34CA2240" w14:textId="77777777" w:rsidR="00FA3A96" w:rsidRPr="00757780" w:rsidRDefault="00FA3A96" w:rsidP="001229D1">
            <w:pPr>
              <w:widowControl w:val="0"/>
              <w:autoSpaceDE w:val="0"/>
              <w:autoSpaceDN w:val="0"/>
              <w:adjustRightInd w:val="0"/>
              <w:spacing w:after="0" w:line="320" w:lineRule="atLeast"/>
              <w:jc w:val="right"/>
              <w:rPr>
                <w:rFonts w:ascii="Arial" w:eastAsia="Times New Roman" w:hAnsi="Arial" w:cs="Arial"/>
                <w:color w:val="000000"/>
                <w:sz w:val="16"/>
                <w:szCs w:val="16"/>
              </w:rPr>
            </w:pPr>
          </w:p>
        </w:tc>
      </w:tr>
    </w:tbl>
    <w:p w14:paraId="525BE812" w14:textId="77777777" w:rsidR="00FA3A96" w:rsidRPr="00757780" w:rsidRDefault="00FA3A96" w:rsidP="00FA3A96">
      <w:pPr>
        <w:rPr>
          <w:rFonts w:ascii="Calibri" w:eastAsia="Calibri" w:hAnsi="Calibri" w:cs="Arial"/>
          <w:sz w:val="16"/>
          <w:szCs w:val="16"/>
        </w:rPr>
      </w:pPr>
    </w:p>
    <w:p w14:paraId="2AE2DB33" w14:textId="050D7130" w:rsidR="00FA3A96" w:rsidRPr="00757780" w:rsidRDefault="00FA3A96" w:rsidP="00FA3A96">
      <w:pPr>
        <w:rPr>
          <w:rFonts w:ascii="Calibri" w:eastAsia="Calibri" w:hAnsi="Calibri" w:cs="Arial"/>
          <w:b/>
          <w:bCs/>
          <w:sz w:val="16"/>
          <w:szCs w:val="16"/>
        </w:rPr>
      </w:pPr>
      <w:r w:rsidRPr="00757780">
        <w:rPr>
          <w:rFonts w:ascii="Calibri" w:eastAsia="Calibri" w:hAnsi="Calibri" w:cs="Arial"/>
          <w:b/>
          <w:bCs/>
          <w:sz w:val="16"/>
          <w:szCs w:val="16"/>
        </w:rPr>
        <w:t>Table (</w:t>
      </w:r>
      <w:r w:rsidRPr="001A1A2A">
        <w:rPr>
          <w:rFonts w:ascii="Calibri" w:eastAsia="Calibri" w:hAnsi="Calibri" w:cs="Arial"/>
          <w:b/>
          <w:bCs/>
          <w:sz w:val="16"/>
          <w:szCs w:val="16"/>
        </w:rPr>
        <w:t>2</w:t>
      </w:r>
      <w:r w:rsidRPr="00757780">
        <w:rPr>
          <w:rFonts w:ascii="Calibri" w:eastAsia="Calibri" w:hAnsi="Calibri" w:cs="Arial"/>
          <w:b/>
          <w:bCs/>
          <w:sz w:val="16"/>
          <w:szCs w:val="16"/>
        </w:rPr>
        <w:t>)</w:t>
      </w:r>
      <w:r w:rsidRPr="001A1A2A">
        <w:rPr>
          <w:rFonts w:ascii="Calibri" w:eastAsia="Calibri" w:hAnsi="Calibri" w:cs="Arial"/>
          <w:b/>
          <w:bCs/>
          <w:sz w:val="16"/>
          <w:szCs w:val="16"/>
        </w:rPr>
        <w:t xml:space="preserve"> AGE </w:t>
      </w:r>
    </w:p>
    <w:tbl>
      <w:tblPr>
        <w:tblW w:w="9239"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0"/>
        <w:gridCol w:w="3673"/>
        <w:gridCol w:w="1114"/>
        <w:gridCol w:w="1112"/>
        <w:gridCol w:w="1575"/>
        <w:gridCol w:w="1605"/>
      </w:tblGrid>
      <w:tr w:rsidR="00FA3A96" w:rsidRPr="00757780" w14:paraId="4628005D" w14:textId="77777777" w:rsidTr="001229D1">
        <w:trPr>
          <w:cantSplit/>
          <w:tblHeader/>
        </w:trPr>
        <w:tc>
          <w:tcPr>
            <w:tcW w:w="160" w:type="dxa"/>
            <w:vMerge w:val="restart"/>
            <w:tcBorders>
              <w:left w:val="single" w:sz="16" w:space="0" w:color="000000"/>
              <w:right w:val="nil"/>
            </w:tcBorders>
            <w:shd w:val="clear" w:color="auto" w:fill="FFFFFF"/>
            <w:tcMar>
              <w:top w:w="30" w:type="dxa"/>
              <w:left w:w="30" w:type="dxa"/>
              <w:bottom w:w="30" w:type="dxa"/>
              <w:right w:w="30" w:type="dxa"/>
            </w:tcMar>
          </w:tcPr>
          <w:p w14:paraId="5BFFF324" w14:textId="77777777" w:rsidR="00FA3A96" w:rsidRPr="00757780" w:rsidRDefault="00FA3A96" w:rsidP="001229D1">
            <w:pPr>
              <w:widowControl w:val="0"/>
              <w:autoSpaceDE w:val="0"/>
              <w:autoSpaceDN w:val="0"/>
              <w:adjustRightInd w:val="0"/>
              <w:spacing w:after="0" w:line="320" w:lineRule="atLeast"/>
              <w:rPr>
                <w:rFonts w:ascii="Arial" w:eastAsia="Times New Roman" w:hAnsi="Arial" w:cs="Arial"/>
                <w:color w:val="000000"/>
                <w:sz w:val="16"/>
                <w:szCs w:val="16"/>
              </w:rPr>
            </w:pPr>
          </w:p>
        </w:tc>
        <w:tc>
          <w:tcPr>
            <w:tcW w:w="3673" w:type="dxa"/>
            <w:tcBorders>
              <w:left w:val="nil"/>
              <w:bottom w:val="nil"/>
              <w:right w:val="single" w:sz="16" w:space="0" w:color="000000"/>
            </w:tcBorders>
            <w:shd w:val="clear" w:color="auto" w:fill="FFFFFF"/>
            <w:tcMar>
              <w:top w:w="30" w:type="dxa"/>
              <w:left w:w="30" w:type="dxa"/>
              <w:bottom w:w="30" w:type="dxa"/>
              <w:right w:w="30" w:type="dxa"/>
            </w:tcMar>
          </w:tcPr>
          <w:p w14:paraId="051F8E17" w14:textId="77777777" w:rsidR="00FA3A96" w:rsidRPr="00757780" w:rsidRDefault="00FA3A96" w:rsidP="001229D1">
            <w:pPr>
              <w:widowControl w:val="0"/>
              <w:autoSpaceDE w:val="0"/>
              <w:autoSpaceDN w:val="0"/>
              <w:adjustRightInd w:val="0"/>
              <w:spacing w:after="0" w:line="320" w:lineRule="atLeast"/>
              <w:rPr>
                <w:rFonts w:ascii="Arial" w:eastAsia="Times New Roman" w:hAnsi="Arial" w:cs="Arial"/>
                <w:color w:val="000000"/>
                <w:sz w:val="16"/>
                <w:szCs w:val="16"/>
              </w:rPr>
            </w:pPr>
            <w:r w:rsidRPr="00757780">
              <w:rPr>
                <w:rFonts w:ascii="Arial" w:eastAsia="Times New Roman" w:hAnsi="Arial" w:cs="Arial"/>
                <w:color w:val="000000"/>
                <w:sz w:val="16"/>
                <w:szCs w:val="16"/>
              </w:rPr>
              <w:t>Lidocaine</w:t>
            </w:r>
            <w:r w:rsidRPr="001A1A2A">
              <w:rPr>
                <w:rFonts w:ascii="Arial" w:eastAsia="Times New Roman" w:hAnsi="Arial" w:cs="Arial"/>
                <w:color w:val="000000"/>
                <w:sz w:val="16"/>
                <w:szCs w:val="16"/>
              </w:rPr>
              <w:t xml:space="preserve"> group</w:t>
            </w:r>
          </w:p>
        </w:tc>
        <w:tc>
          <w:tcPr>
            <w:tcW w:w="1114" w:type="dxa"/>
            <w:tcBorders>
              <w:left w:val="single" w:sz="16" w:space="0" w:color="000000"/>
              <w:bottom w:val="nil"/>
            </w:tcBorders>
            <w:shd w:val="clear" w:color="auto" w:fill="FFFFFF"/>
            <w:tcMar>
              <w:top w:w="30" w:type="dxa"/>
              <w:left w:w="30" w:type="dxa"/>
              <w:bottom w:w="30" w:type="dxa"/>
              <w:right w:w="30" w:type="dxa"/>
            </w:tcMar>
            <w:vAlign w:val="center"/>
          </w:tcPr>
          <w:p w14:paraId="269AABF3" w14:textId="77777777" w:rsidR="00FA3A96" w:rsidRPr="00757780" w:rsidRDefault="00FA3A96" w:rsidP="001229D1">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25</w:t>
            </w:r>
          </w:p>
        </w:tc>
        <w:tc>
          <w:tcPr>
            <w:tcW w:w="1112" w:type="dxa"/>
            <w:tcBorders>
              <w:bottom w:val="nil"/>
            </w:tcBorders>
            <w:shd w:val="clear" w:color="auto" w:fill="FFFFFF"/>
            <w:tcMar>
              <w:top w:w="30" w:type="dxa"/>
              <w:left w:w="30" w:type="dxa"/>
              <w:bottom w:w="30" w:type="dxa"/>
              <w:right w:w="30" w:type="dxa"/>
            </w:tcMar>
            <w:vAlign w:val="center"/>
          </w:tcPr>
          <w:p w14:paraId="16C34778" w14:textId="77777777" w:rsidR="00FA3A96" w:rsidRPr="00757780" w:rsidRDefault="00FA3A96" w:rsidP="001229D1">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38.80</w:t>
            </w:r>
          </w:p>
        </w:tc>
        <w:tc>
          <w:tcPr>
            <w:tcW w:w="1575" w:type="dxa"/>
            <w:tcBorders>
              <w:bottom w:val="nil"/>
            </w:tcBorders>
            <w:shd w:val="clear" w:color="auto" w:fill="FFFFFF"/>
            <w:tcMar>
              <w:top w:w="30" w:type="dxa"/>
              <w:left w:w="30" w:type="dxa"/>
              <w:bottom w:w="30" w:type="dxa"/>
              <w:right w:w="30" w:type="dxa"/>
            </w:tcMar>
            <w:vAlign w:val="center"/>
          </w:tcPr>
          <w:p w14:paraId="5C99974A" w14:textId="77777777" w:rsidR="00FA3A96" w:rsidRPr="00757780" w:rsidRDefault="00FA3A96" w:rsidP="001229D1">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±11.489</w:t>
            </w:r>
          </w:p>
        </w:tc>
        <w:tc>
          <w:tcPr>
            <w:tcW w:w="1605" w:type="dxa"/>
            <w:tcBorders>
              <w:bottom w:val="nil"/>
              <w:right w:val="single" w:sz="16" w:space="0" w:color="000000"/>
            </w:tcBorders>
            <w:shd w:val="clear" w:color="auto" w:fill="FFFFFF"/>
            <w:tcMar>
              <w:top w:w="30" w:type="dxa"/>
              <w:left w:w="30" w:type="dxa"/>
              <w:bottom w:w="30" w:type="dxa"/>
              <w:right w:w="30" w:type="dxa"/>
            </w:tcMar>
            <w:vAlign w:val="center"/>
          </w:tcPr>
          <w:p w14:paraId="0B4DE3C7" w14:textId="77777777" w:rsidR="00FA3A96" w:rsidRPr="00757780" w:rsidRDefault="00FA3A96" w:rsidP="001229D1">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0.098</w:t>
            </w:r>
          </w:p>
        </w:tc>
      </w:tr>
      <w:tr w:rsidR="00FA3A96" w:rsidRPr="00757780" w14:paraId="34270FC3" w14:textId="77777777" w:rsidTr="00D83908">
        <w:trPr>
          <w:cantSplit/>
          <w:trHeight w:val="229"/>
          <w:tblHeader/>
        </w:trPr>
        <w:tc>
          <w:tcPr>
            <w:tcW w:w="160" w:type="dxa"/>
            <w:vMerge/>
            <w:tcBorders>
              <w:left w:val="single" w:sz="16" w:space="0" w:color="000000"/>
              <w:right w:val="nil"/>
            </w:tcBorders>
            <w:shd w:val="clear" w:color="auto" w:fill="FFFFFF"/>
            <w:tcMar>
              <w:top w:w="30" w:type="dxa"/>
              <w:left w:w="30" w:type="dxa"/>
              <w:bottom w:w="30" w:type="dxa"/>
              <w:right w:w="30" w:type="dxa"/>
            </w:tcMar>
          </w:tcPr>
          <w:p w14:paraId="07A2DD09" w14:textId="77777777" w:rsidR="00FA3A96" w:rsidRPr="00757780" w:rsidRDefault="00FA3A96" w:rsidP="001229D1">
            <w:pPr>
              <w:widowControl w:val="0"/>
              <w:autoSpaceDE w:val="0"/>
              <w:autoSpaceDN w:val="0"/>
              <w:adjustRightInd w:val="0"/>
              <w:spacing w:after="0" w:line="240" w:lineRule="auto"/>
              <w:rPr>
                <w:rFonts w:ascii="Arial" w:eastAsia="Times New Roman" w:hAnsi="Arial" w:cs="Arial"/>
                <w:color w:val="000000"/>
                <w:sz w:val="16"/>
                <w:szCs w:val="16"/>
              </w:rPr>
            </w:pPr>
          </w:p>
        </w:tc>
        <w:tc>
          <w:tcPr>
            <w:tcW w:w="3673" w:type="dxa"/>
            <w:tcBorders>
              <w:top w:val="nil"/>
              <w:left w:val="nil"/>
              <w:right w:val="single" w:sz="16" w:space="0" w:color="000000"/>
            </w:tcBorders>
            <w:shd w:val="clear" w:color="auto" w:fill="FFFFFF"/>
            <w:tcMar>
              <w:top w:w="30" w:type="dxa"/>
              <w:left w:w="30" w:type="dxa"/>
              <w:bottom w:w="30" w:type="dxa"/>
              <w:right w:w="30" w:type="dxa"/>
            </w:tcMar>
          </w:tcPr>
          <w:p w14:paraId="2EF5503E" w14:textId="77777777" w:rsidR="00FA3A96" w:rsidRPr="00757780" w:rsidRDefault="00FA3A96" w:rsidP="001229D1">
            <w:pPr>
              <w:widowControl w:val="0"/>
              <w:autoSpaceDE w:val="0"/>
              <w:autoSpaceDN w:val="0"/>
              <w:adjustRightInd w:val="0"/>
              <w:spacing w:after="0" w:line="320" w:lineRule="atLeast"/>
              <w:rPr>
                <w:rFonts w:ascii="Arial" w:eastAsia="Times New Roman" w:hAnsi="Arial" w:cs="Arial"/>
                <w:color w:val="000000"/>
                <w:sz w:val="16"/>
                <w:szCs w:val="16"/>
              </w:rPr>
            </w:pPr>
            <w:r w:rsidRPr="00757780">
              <w:rPr>
                <w:rFonts w:ascii="Arial" w:eastAsia="Times New Roman" w:hAnsi="Arial" w:cs="Arial"/>
                <w:color w:val="000000"/>
                <w:sz w:val="16"/>
                <w:szCs w:val="16"/>
              </w:rPr>
              <w:t>Fentanyl</w:t>
            </w:r>
            <w:r w:rsidRPr="001A1A2A">
              <w:rPr>
                <w:rFonts w:ascii="Arial" w:eastAsia="Times New Roman" w:hAnsi="Arial" w:cs="Arial"/>
                <w:color w:val="000000"/>
                <w:sz w:val="16"/>
                <w:szCs w:val="16"/>
              </w:rPr>
              <w:t xml:space="preserve"> group</w:t>
            </w:r>
          </w:p>
        </w:tc>
        <w:tc>
          <w:tcPr>
            <w:tcW w:w="1114" w:type="dxa"/>
            <w:tcBorders>
              <w:top w:val="nil"/>
              <w:left w:val="single" w:sz="16" w:space="0" w:color="000000"/>
            </w:tcBorders>
            <w:shd w:val="clear" w:color="auto" w:fill="FFFFFF"/>
            <w:tcMar>
              <w:top w:w="30" w:type="dxa"/>
              <w:left w:w="30" w:type="dxa"/>
              <w:bottom w:w="30" w:type="dxa"/>
              <w:right w:w="30" w:type="dxa"/>
            </w:tcMar>
            <w:vAlign w:val="center"/>
          </w:tcPr>
          <w:p w14:paraId="14142EE5" w14:textId="77777777" w:rsidR="00FA3A96" w:rsidRPr="00757780" w:rsidRDefault="00FA3A96" w:rsidP="001229D1">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25</w:t>
            </w:r>
          </w:p>
        </w:tc>
        <w:tc>
          <w:tcPr>
            <w:tcW w:w="1112" w:type="dxa"/>
            <w:tcBorders>
              <w:top w:val="nil"/>
            </w:tcBorders>
            <w:shd w:val="clear" w:color="auto" w:fill="FFFFFF"/>
            <w:tcMar>
              <w:top w:w="30" w:type="dxa"/>
              <w:left w:w="30" w:type="dxa"/>
              <w:bottom w:w="30" w:type="dxa"/>
              <w:right w:w="30" w:type="dxa"/>
            </w:tcMar>
            <w:vAlign w:val="center"/>
          </w:tcPr>
          <w:p w14:paraId="6557CEE5" w14:textId="77777777" w:rsidR="00FA3A96" w:rsidRPr="00757780" w:rsidRDefault="00FA3A96" w:rsidP="001229D1">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43.72</w:t>
            </w:r>
          </w:p>
        </w:tc>
        <w:tc>
          <w:tcPr>
            <w:tcW w:w="1575" w:type="dxa"/>
            <w:tcBorders>
              <w:top w:val="nil"/>
            </w:tcBorders>
            <w:shd w:val="clear" w:color="auto" w:fill="FFFFFF"/>
            <w:tcMar>
              <w:top w:w="30" w:type="dxa"/>
              <w:left w:w="30" w:type="dxa"/>
              <w:bottom w:w="30" w:type="dxa"/>
              <w:right w:w="30" w:type="dxa"/>
            </w:tcMar>
            <w:vAlign w:val="center"/>
          </w:tcPr>
          <w:p w14:paraId="74A920DF" w14:textId="77777777" w:rsidR="00FA3A96" w:rsidRPr="00757780" w:rsidRDefault="00FA3A96" w:rsidP="001229D1">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±8.970</w:t>
            </w:r>
          </w:p>
        </w:tc>
        <w:tc>
          <w:tcPr>
            <w:tcW w:w="1605" w:type="dxa"/>
            <w:tcBorders>
              <w:top w:val="nil"/>
              <w:right w:val="single" w:sz="16" w:space="0" w:color="000000"/>
            </w:tcBorders>
            <w:shd w:val="clear" w:color="auto" w:fill="FFFFFF"/>
            <w:tcMar>
              <w:top w:w="30" w:type="dxa"/>
              <w:left w:w="30" w:type="dxa"/>
              <w:bottom w:w="30" w:type="dxa"/>
              <w:right w:w="30" w:type="dxa"/>
            </w:tcMar>
            <w:vAlign w:val="center"/>
          </w:tcPr>
          <w:p w14:paraId="175F0A9E" w14:textId="77777777" w:rsidR="00FA3A96" w:rsidRPr="00757780" w:rsidRDefault="00FA3A96" w:rsidP="001229D1">
            <w:pPr>
              <w:widowControl w:val="0"/>
              <w:autoSpaceDE w:val="0"/>
              <w:autoSpaceDN w:val="0"/>
              <w:adjustRightInd w:val="0"/>
              <w:spacing w:after="0" w:line="320" w:lineRule="atLeast"/>
              <w:jc w:val="right"/>
              <w:rPr>
                <w:rFonts w:ascii="Arial" w:eastAsia="Times New Roman" w:hAnsi="Arial" w:cs="Arial"/>
                <w:color w:val="000000"/>
                <w:sz w:val="16"/>
                <w:szCs w:val="16"/>
              </w:rPr>
            </w:pPr>
          </w:p>
        </w:tc>
      </w:tr>
    </w:tbl>
    <w:p w14:paraId="5BDA2009" w14:textId="77777777" w:rsidR="00D83908" w:rsidRDefault="00D83908" w:rsidP="00D83908">
      <w:pPr>
        <w:rPr>
          <w:rFonts w:ascii="Calibri" w:eastAsia="Calibri" w:hAnsi="Calibri" w:cs="Arial"/>
          <w:sz w:val="20"/>
          <w:szCs w:val="20"/>
        </w:rPr>
      </w:pPr>
      <w:r w:rsidRPr="00D83908">
        <w:rPr>
          <w:rFonts w:ascii="Calibri" w:eastAsia="Calibri" w:hAnsi="Calibri" w:cs="Arial"/>
          <w:sz w:val="20"/>
          <w:szCs w:val="20"/>
        </w:rPr>
        <w:t>Regarding age and body weight no significant changes within the two groups.</w:t>
      </w:r>
    </w:p>
    <w:p w14:paraId="23C4A2EC" w14:textId="124428B3" w:rsidR="00757780" w:rsidRPr="00D83908" w:rsidRDefault="00757780" w:rsidP="00D83908">
      <w:pPr>
        <w:rPr>
          <w:rFonts w:ascii="Calibri" w:eastAsia="Calibri" w:hAnsi="Calibri" w:cs="Arial"/>
          <w:sz w:val="20"/>
          <w:szCs w:val="20"/>
        </w:rPr>
      </w:pPr>
      <w:r w:rsidRPr="00757780">
        <w:rPr>
          <w:rFonts w:ascii="Calibri" w:eastAsia="Calibri" w:hAnsi="Calibri" w:cs="Arial"/>
          <w:b/>
          <w:bCs/>
          <w:sz w:val="16"/>
          <w:szCs w:val="16"/>
        </w:rPr>
        <w:t>Table (</w:t>
      </w:r>
      <w:r w:rsidR="00FA3A96" w:rsidRPr="001A1A2A">
        <w:rPr>
          <w:rFonts w:ascii="Calibri" w:eastAsia="Calibri" w:hAnsi="Calibri" w:cs="Arial"/>
          <w:b/>
          <w:bCs/>
          <w:sz w:val="16"/>
          <w:szCs w:val="16"/>
        </w:rPr>
        <w:t>3</w:t>
      </w:r>
      <w:r w:rsidRPr="00757780">
        <w:rPr>
          <w:rFonts w:ascii="Calibri" w:eastAsia="Calibri" w:hAnsi="Calibri" w:cs="Arial"/>
          <w:b/>
          <w:bCs/>
          <w:sz w:val="16"/>
          <w:szCs w:val="16"/>
        </w:rPr>
        <w:t xml:space="preserve">) </w:t>
      </w:r>
      <w:r w:rsidR="00E75CA9" w:rsidRPr="001A1A2A">
        <w:rPr>
          <w:rFonts w:ascii="Calibri" w:eastAsia="Calibri" w:hAnsi="Calibri" w:cs="Arial"/>
          <w:b/>
          <w:bCs/>
          <w:sz w:val="16"/>
          <w:szCs w:val="16"/>
        </w:rPr>
        <w:t xml:space="preserve">Preoperative heart rate </w:t>
      </w:r>
    </w:p>
    <w:tbl>
      <w:tblPr>
        <w:tblW w:w="929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30"/>
        <w:gridCol w:w="3763"/>
        <w:gridCol w:w="1114"/>
        <w:gridCol w:w="1112"/>
        <w:gridCol w:w="1575"/>
        <w:gridCol w:w="1605"/>
      </w:tblGrid>
      <w:tr w:rsidR="00757780" w:rsidRPr="00757780" w14:paraId="01D6EC43" w14:textId="77777777" w:rsidTr="00E75CA9">
        <w:trPr>
          <w:cantSplit/>
          <w:tblHeader/>
        </w:trPr>
        <w:tc>
          <w:tcPr>
            <w:tcW w:w="13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9AAF0E8" w14:textId="77777777" w:rsidR="00757780" w:rsidRPr="00757780" w:rsidRDefault="00757780" w:rsidP="00757780">
            <w:pPr>
              <w:rPr>
                <w:rFonts w:ascii="Times New Roman" w:eastAsia="Calibri" w:hAnsi="Times New Roman" w:cs="Times New Roman"/>
                <w:sz w:val="16"/>
                <w:szCs w:val="16"/>
              </w:rPr>
            </w:pPr>
          </w:p>
        </w:tc>
        <w:tc>
          <w:tcPr>
            <w:tcW w:w="376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14:paraId="3DE8BE76" w14:textId="3F782B8E" w:rsidR="00757780" w:rsidRPr="00757780" w:rsidRDefault="00E75CA9" w:rsidP="00757780">
            <w:pPr>
              <w:spacing w:line="320" w:lineRule="atLeast"/>
              <w:rPr>
                <w:rFonts w:ascii="Arial" w:eastAsia="Calibri" w:hAnsi="Arial" w:cs="Arial"/>
                <w:sz w:val="16"/>
                <w:szCs w:val="16"/>
              </w:rPr>
            </w:pPr>
            <w:r w:rsidRPr="001A1A2A">
              <w:rPr>
                <w:rFonts w:ascii="Arial" w:eastAsia="Calibri" w:hAnsi="Arial" w:cs="Arial"/>
                <w:sz w:val="16"/>
                <w:szCs w:val="16"/>
              </w:rPr>
              <w:t>D</w:t>
            </w:r>
            <w:r w:rsidR="00757780" w:rsidRPr="00757780">
              <w:rPr>
                <w:rFonts w:ascii="Arial" w:eastAsia="Calibri" w:hAnsi="Arial" w:cs="Arial"/>
                <w:sz w:val="16"/>
                <w:szCs w:val="16"/>
              </w:rPr>
              <w:t xml:space="preserve">rug </w:t>
            </w:r>
          </w:p>
        </w:tc>
        <w:tc>
          <w:tcPr>
            <w:tcW w:w="111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24DF87F7" w14:textId="77777777" w:rsidR="00757780" w:rsidRPr="00757780" w:rsidRDefault="00757780" w:rsidP="00757780">
            <w:pPr>
              <w:spacing w:line="320" w:lineRule="atLeast"/>
              <w:jc w:val="center"/>
              <w:rPr>
                <w:rFonts w:ascii="Arial" w:eastAsia="Calibri" w:hAnsi="Arial" w:cs="Arial"/>
                <w:sz w:val="16"/>
                <w:szCs w:val="16"/>
              </w:rPr>
            </w:pPr>
            <w:r w:rsidRPr="00757780">
              <w:rPr>
                <w:rFonts w:ascii="Arial" w:eastAsia="Calibri" w:hAnsi="Arial" w:cs="Arial"/>
                <w:sz w:val="16"/>
                <w:szCs w:val="16"/>
              </w:rPr>
              <w:t>N</w:t>
            </w:r>
          </w:p>
        </w:tc>
        <w:tc>
          <w:tcPr>
            <w:tcW w:w="111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E6FD311" w14:textId="77777777" w:rsidR="00757780" w:rsidRPr="00757780" w:rsidRDefault="00757780" w:rsidP="00757780">
            <w:pPr>
              <w:spacing w:line="320" w:lineRule="atLeast"/>
              <w:jc w:val="center"/>
              <w:rPr>
                <w:rFonts w:ascii="Arial" w:eastAsia="Calibri" w:hAnsi="Arial" w:cs="Arial"/>
                <w:sz w:val="16"/>
                <w:szCs w:val="16"/>
              </w:rPr>
            </w:pPr>
            <w:r w:rsidRPr="00757780">
              <w:rPr>
                <w:rFonts w:ascii="Arial" w:eastAsia="Calibri" w:hAnsi="Arial" w:cs="Arial"/>
                <w:sz w:val="16"/>
                <w:szCs w:val="16"/>
              </w:rPr>
              <w:t>Mean</w:t>
            </w:r>
          </w:p>
        </w:tc>
        <w:tc>
          <w:tcPr>
            <w:tcW w:w="1575"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300FFD5" w14:textId="77777777" w:rsidR="00757780" w:rsidRPr="00757780" w:rsidRDefault="00757780" w:rsidP="00757780">
            <w:pPr>
              <w:spacing w:line="320" w:lineRule="atLeast"/>
              <w:jc w:val="center"/>
              <w:rPr>
                <w:rFonts w:ascii="Arial" w:eastAsia="Calibri" w:hAnsi="Arial" w:cs="Arial"/>
                <w:sz w:val="16"/>
                <w:szCs w:val="16"/>
              </w:rPr>
            </w:pPr>
            <w:r w:rsidRPr="00757780">
              <w:rPr>
                <w:rFonts w:ascii="Arial" w:eastAsia="Calibri" w:hAnsi="Arial" w:cs="Arial"/>
                <w:sz w:val="16"/>
                <w:szCs w:val="16"/>
              </w:rPr>
              <w:t>Std. Deviation</w:t>
            </w:r>
          </w:p>
        </w:tc>
        <w:tc>
          <w:tcPr>
            <w:tcW w:w="160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8633AE3" w14:textId="77777777" w:rsidR="00757780" w:rsidRPr="00757780" w:rsidRDefault="00757780" w:rsidP="00757780">
            <w:pPr>
              <w:spacing w:line="320" w:lineRule="atLeast"/>
              <w:jc w:val="center"/>
              <w:rPr>
                <w:rFonts w:ascii="Arial" w:eastAsia="Calibri" w:hAnsi="Arial" w:cs="Arial"/>
                <w:sz w:val="16"/>
                <w:szCs w:val="16"/>
              </w:rPr>
            </w:pPr>
            <w:r w:rsidRPr="00757780">
              <w:rPr>
                <w:rFonts w:ascii="Arial" w:eastAsia="Calibri" w:hAnsi="Arial" w:cs="Arial"/>
                <w:sz w:val="16"/>
                <w:szCs w:val="16"/>
              </w:rPr>
              <w:t>Std. Error Mean</w:t>
            </w:r>
          </w:p>
        </w:tc>
      </w:tr>
      <w:tr w:rsidR="00757780" w:rsidRPr="00757780" w14:paraId="174DC23E" w14:textId="77777777" w:rsidTr="00D83908">
        <w:trPr>
          <w:cantSplit/>
          <w:trHeight w:val="218"/>
          <w:tblHeader/>
        </w:trPr>
        <w:tc>
          <w:tcPr>
            <w:tcW w:w="130"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14:paraId="2D3278FE" w14:textId="67B78F42" w:rsidR="00757780" w:rsidRPr="00757780" w:rsidRDefault="00757780" w:rsidP="00757780">
            <w:pPr>
              <w:spacing w:line="320" w:lineRule="atLeast"/>
              <w:rPr>
                <w:rFonts w:ascii="Arial" w:eastAsia="Calibri" w:hAnsi="Arial" w:cs="Arial"/>
                <w:sz w:val="16"/>
                <w:szCs w:val="16"/>
              </w:rPr>
            </w:pPr>
          </w:p>
        </w:tc>
        <w:tc>
          <w:tcPr>
            <w:tcW w:w="376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04587A07" w14:textId="1F0EA15C" w:rsidR="00757780" w:rsidRPr="00757780" w:rsidRDefault="00757780" w:rsidP="00757780">
            <w:pPr>
              <w:spacing w:line="320" w:lineRule="atLeast"/>
              <w:rPr>
                <w:rFonts w:ascii="Arial" w:eastAsia="Calibri" w:hAnsi="Arial" w:cs="Arial"/>
                <w:sz w:val="16"/>
                <w:szCs w:val="16"/>
              </w:rPr>
            </w:pPr>
            <w:r w:rsidRPr="00757780">
              <w:rPr>
                <w:rFonts w:ascii="Arial" w:eastAsia="Calibri" w:hAnsi="Arial" w:cs="Arial"/>
                <w:sz w:val="16"/>
                <w:szCs w:val="16"/>
              </w:rPr>
              <w:t>Lidocaine</w:t>
            </w:r>
            <w:r w:rsidR="00E75CA9" w:rsidRPr="001A1A2A">
              <w:rPr>
                <w:rFonts w:ascii="Arial" w:eastAsia="Calibri" w:hAnsi="Arial" w:cs="Arial"/>
                <w:sz w:val="16"/>
                <w:szCs w:val="16"/>
              </w:rPr>
              <w:t xml:space="preserve"> group</w:t>
            </w:r>
          </w:p>
        </w:tc>
        <w:tc>
          <w:tcPr>
            <w:tcW w:w="111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514E092D" w14:textId="77777777" w:rsidR="00757780" w:rsidRPr="00757780" w:rsidRDefault="00757780" w:rsidP="00757780">
            <w:pPr>
              <w:spacing w:line="320" w:lineRule="atLeast"/>
              <w:jc w:val="right"/>
              <w:rPr>
                <w:rFonts w:ascii="Arial" w:eastAsia="Calibri" w:hAnsi="Arial" w:cs="Arial"/>
                <w:sz w:val="16"/>
                <w:szCs w:val="16"/>
              </w:rPr>
            </w:pPr>
            <w:r w:rsidRPr="00757780">
              <w:rPr>
                <w:rFonts w:ascii="Arial" w:eastAsia="Calibri" w:hAnsi="Arial" w:cs="Arial"/>
                <w:sz w:val="16"/>
                <w:szCs w:val="16"/>
              </w:rPr>
              <w:t>25</w:t>
            </w:r>
          </w:p>
        </w:tc>
        <w:tc>
          <w:tcPr>
            <w:tcW w:w="1112" w:type="dxa"/>
            <w:tcBorders>
              <w:top w:val="single" w:sz="16" w:space="0" w:color="000000"/>
              <w:bottom w:val="nil"/>
            </w:tcBorders>
            <w:shd w:val="clear" w:color="auto" w:fill="FFFFFF"/>
            <w:tcMar>
              <w:top w:w="30" w:type="dxa"/>
              <w:left w:w="30" w:type="dxa"/>
              <w:bottom w:w="30" w:type="dxa"/>
              <w:right w:w="30" w:type="dxa"/>
            </w:tcMar>
            <w:vAlign w:val="center"/>
          </w:tcPr>
          <w:p w14:paraId="39C2EAC0" w14:textId="77777777" w:rsidR="00757780" w:rsidRPr="00757780" w:rsidRDefault="00757780" w:rsidP="00757780">
            <w:pPr>
              <w:spacing w:line="320" w:lineRule="atLeast"/>
              <w:jc w:val="right"/>
              <w:rPr>
                <w:rFonts w:ascii="Arial" w:eastAsia="Calibri" w:hAnsi="Arial" w:cs="Arial"/>
                <w:sz w:val="16"/>
                <w:szCs w:val="16"/>
              </w:rPr>
            </w:pPr>
            <w:r w:rsidRPr="00757780">
              <w:rPr>
                <w:rFonts w:ascii="Arial" w:eastAsia="Calibri" w:hAnsi="Arial" w:cs="Arial"/>
                <w:sz w:val="16"/>
                <w:szCs w:val="16"/>
              </w:rPr>
              <w:t>82.32</w:t>
            </w:r>
          </w:p>
        </w:tc>
        <w:tc>
          <w:tcPr>
            <w:tcW w:w="1575" w:type="dxa"/>
            <w:tcBorders>
              <w:top w:val="single" w:sz="16" w:space="0" w:color="000000"/>
              <w:bottom w:val="nil"/>
            </w:tcBorders>
            <w:shd w:val="clear" w:color="auto" w:fill="FFFFFF"/>
            <w:tcMar>
              <w:top w:w="30" w:type="dxa"/>
              <w:left w:w="30" w:type="dxa"/>
              <w:bottom w:w="30" w:type="dxa"/>
              <w:right w:w="30" w:type="dxa"/>
            </w:tcMar>
            <w:vAlign w:val="center"/>
          </w:tcPr>
          <w:p w14:paraId="05B494B5" w14:textId="77777777" w:rsidR="00757780" w:rsidRPr="00757780" w:rsidRDefault="00757780" w:rsidP="00757780">
            <w:pPr>
              <w:spacing w:line="320" w:lineRule="atLeast"/>
              <w:jc w:val="right"/>
              <w:rPr>
                <w:rFonts w:ascii="Arial" w:eastAsia="Calibri" w:hAnsi="Arial" w:cs="Arial"/>
                <w:sz w:val="16"/>
                <w:szCs w:val="16"/>
              </w:rPr>
            </w:pPr>
            <w:r w:rsidRPr="00757780">
              <w:rPr>
                <w:rFonts w:ascii="Arial" w:eastAsia="Calibri" w:hAnsi="Arial" w:cs="Arial"/>
                <w:sz w:val="16"/>
                <w:szCs w:val="16"/>
              </w:rPr>
              <w:t>6.908</w:t>
            </w:r>
          </w:p>
        </w:tc>
        <w:tc>
          <w:tcPr>
            <w:tcW w:w="1605"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7BB985C5" w14:textId="77777777" w:rsidR="00757780" w:rsidRPr="00757780" w:rsidRDefault="00757780" w:rsidP="00757780">
            <w:pPr>
              <w:spacing w:line="320" w:lineRule="atLeast"/>
              <w:jc w:val="right"/>
              <w:rPr>
                <w:rFonts w:ascii="Arial" w:eastAsia="Calibri" w:hAnsi="Arial" w:cs="Arial"/>
                <w:sz w:val="16"/>
                <w:szCs w:val="16"/>
              </w:rPr>
            </w:pPr>
            <w:r w:rsidRPr="00757780">
              <w:rPr>
                <w:rFonts w:ascii="Arial" w:eastAsia="Calibri" w:hAnsi="Arial" w:cs="Arial"/>
                <w:sz w:val="16"/>
                <w:szCs w:val="16"/>
              </w:rPr>
              <w:t>0.032</w:t>
            </w:r>
          </w:p>
        </w:tc>
      </w:tr>
      <w:tr w:rsidR="00757780" w:rsidRPr="00757780" w14:paraId="5C6741CA" w14:textId="77777777" w:rsidTr="00D83908">
        <w:trPr>
          <w:cantSplit/>
          <w:trHeight w:val="173"/>
          <w:tblHeader/>
        </w:trPr>
        <w:tc>
          <w:tcPr>
            <w:tcW w:w="13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1D2178C0" w14:textId="77777777" w:rsidR="00757780" w:rsidRPr="00757780" w:rsidRDefault="00757780" w:rsidP="00757780">
            <w:pPr>
              <w:rPr>
                <w:rFonts w:ascii="Arial" w:eastAsia="Calibri" w:hAnsi="Arial" w:cs="Arial"/>
                <w:sz w:val="16"/>
                <w:szCs w:val="16"/>
              </w:rPr>
            </w:pPr>
          </w:p>
        </w:tc>
        <w:tc>
          <w:tcPr>
            <w:tcW w:w="3763" w:type="dxa"/>
            <w:tcBorders>
              <w:top w:val="nil"/>
              <w:left w:val="nil"/>
              <w:right w:val="single" w:sz="16" w:space="0" w:color="000000"/>
            </w:tcBorders>
            <w:shd w:val="clear" w:color="auto" w:fill="FFFFFF"/>
            <w:tcMar>
              <w:top w:w="30" w:type="dxa"/>
              <w:left w:w="30" w:type="dxa"/>
              <w:bottom w:w="30" w:type="dxa"/>
              <w:right w:w="30" w:type="dxa"/>
            </w:tcMar>
          </w:tcPr>
          <w:p w14:paraId="28222861" w14:textId="7865EE54" w:rsidR="00757780" w:rsidRPr="00757780" w:rsidRDefault="00757780" w:rsidP="00757780">
            <w:pPr>
              <w:spacing w:line="320" w:lineRule="atLeast"/>
              <w:rPr>
                <w:rFonts w:ascii="Arial" w:eastAsia="Calibri" w:hAnsi="Arial" w:cs="Arial"/>
                <w:sz w:val="16"/>
                <w:szCs w:val="16"/>
              </w:rPr>
            </w:pPr>
            <w:r w:rsidRPr="00757780">
              <w:rPr>
                <w:rFonts w:ascii="Arial" w:eastAsia="Calibri" w:hAnsi="Arial" w:cs="Arial"/>
                <w:sz w:val="16"/>
                <w:szCs w:val="16"/>
              </w:rPr>
              <w:t>Fentanyl</w:t>
            </w:r>
            <w:r w:rsidR="00E75CA9" w:rsidRPr="001A1A2A">
              <w:rPr>
                <w:rFonts w:ascii="Arial" w:eastAsia="Calibri" w:hAnsi="Arial" w:cs="Arial"/>
                <w:sz w:val="16"/>
                <w:szCs w:val="16"/>
              </w:rPr>
              <w:t xml:space="preserve"> group</w:t>
            </w:r>
          </w:p>
        </w:tc>
        <w:tc>
          <w:tcPr>
            <w:tcW w:w="1114" w:type="dxa"/>
            <w:tcBorders>
              <w:top w:val="nil"/>
              <w:left w:val="single" w:sz="16" w:space="0" w:color="000000"/>
            </w:tcBorders>
            <w:shd w:val="clear" w:color="auto" w:fill="FFFFFF"/>
            <w:tcMar>
              <w:top w:w="30" w:type="dxa"/>
              <w:left w:w="30" w:type="dxa"/>
              <w:bottom w:w="30" w:type="dxa"/>
              <w:right w:w="30" w:type="dxa"/>
            </w:tcMar>
            <w:vAlign w:val="center"/>
          </w:tcPr>
          <w:p w14:paraId="4173E7C8" w14:textId="77777777" w:rsidR="00757780" w:rsidRPr="00757780" w:rsidRDefault="00757780" w:rsidP="00757780">
            <w:pPr>
              <w:spacing w:line="320" w:lineRule="atLeast"/>
              <w:jc w:val="right"/>
              <w:rPr>
                <w:rFonts w:ascii="Arial" w:eastAsia="Calibri" w:hAnsi="Arial" w:cs="Arial"/>
                <w:sz w:val="16"/>
                <w:szCs w:val="16"/>
              </w:rPr>
            </w:pPr>
            <w:r w:rsidRPr="00757780">
              <w:rPr>
                <w:rFonts w:ascii="Arial" w:eastAsia="Calibri" w:hAnsi="Arial" w:cs="Arial"/>
                <w:sz w:val="16"/>
                <w:szCs w:val="16"/>
              </w:rPr>
              <w:t>25</w:t>
            </w:r>
          </w:p>
        </w:tc>
        <w:tc>
          <w:tcPr>
            <w:tcW w:w="1112" w:type="dxa"/>
            <w:tcBorders>
              <w:top w:val="nil"/>
            </w:tcBorders>
            <w:shd w:val="clear" w:color="auto" w:fill="FFFFFF"/>
            <w:tcMar>
              <w:top w:w="30" w:type="dxa"/>
              <w:left w:w="30" w:type="dxa"/>
              <w:bottom w:w="30" w:type="dxa"/>
              <w:right w:w="30" w:type="dxa"/>
            </w:tcMar>
            <w:vAlign w:val="center"/>
          </w:tcPr>
          <w:p w14:paraId="168FB5A1" w14:textId="77777777" w:rsidR="00757780" w:rsidRPr="00757780" w:rsidRDefault="00757780" w:rsidP="00757780">
            <w:pPr>
              <w:spacing w:line="320" w:lineRule="atLeast"/>
              <w:jc w:val="right"/>
              <w:rPr>
                <w:rFonts w:ascii="Arial" w:eastAsia="Calibri" w:hAnsi="Arial" w:cs="Arial"/>
                <w:sz w:val="16"/>
                <w:szCs w:val="16"/>
              </w:rPr>
            </w:pPr>
            <w:r w:rsidRPr="00757780">
              <w:rPr>
                <w:rFonts w:ascii="Arial" w:eastAsia="Calibri" w:hAnsi="Arial" w:cs="Arial"/>
                <w:sz w:val="16"/>
                <w:szCs w:val="16"/>
              </w:rPr>
              <w:t>86.28</w:t>
            </w:r>
          </w:p>
        </w:tc>
        <w:tc>
          <w:tcPr>
            <w:tcW w:w="1575" w:type="dxa"/>
            <w:tcBorders>
              <w:top w:val="nil"/>
            </w:tcBorders>
            <w:shd w:val="clear" w:color="auto" w:fill="FFFFFF"/>
            <w:tcMar>
              <w:top w:w="30" w:type="dxa"/>
              <w:left w:w="30" w:type="dxa"/>
              <w:bottom w:w="30" w:type="dxa"/>
              <w:right w:w="30" w:type="dxa"/>
            </w:tcMar>
            <w:vAlign w:val="center"/>
          </w:tcPr>
          <w:p w14:paraId="2237B064" w14:textId="77777777" w:rsidR="00757780" w:rsidRPr="00757780" w:rsidRDefault="00757780" w:rsidP="00757780">
            <w:pPr>
              <w:spacing w:line="320" w:lineRule="atLeast"/>
              <w:jc w:val="right"/>
              <w:rPr>
                <w:rFonts w:ascii="Arial" w:eastAsia="Calibri" w:hAnsi="Arial" w:cs="Arial"/>
                <w:sz w:val="16"/>
                <w:szCs w:val="16"/>
              </w:rPr>
            </w:pPr>
            <w:r w:rsidRPr="00757780">
              <w:rPr>
                <w:rFonts w:ascii="Arial" w:eastAsia="Calibri" w:hAnsi="Arial" w:cs="Arial"/>
                <w:sz w:val="16"/>
                <w:szCs w:val="16"/>
              </w:rPr>
              <w:t>5.675</w:t>
            </w:r>
          </w:p>
        </w:tc>
        <w:tc>
          <w:tcPr>
            <w:tcW w:w="1605" w:type="dxa"/>
            <w:tcBorders>
              <w:top w:val="nil"/>
              <w:right w:val="single" w:sz="16" w:space="0" w:color="000000"/>
            </w:tcBorders>
            <w:shd w:val="clear" w:color="auto" w:fill="FFFFFF"/>
            <w:tcMar>
              <w:top w:w="30" w:type="dxa"/>
              <w:left w:w="30" w:type="dxa"/>
              <w:bottom w:w="30" w:type="dxa"/>
              <w:right w:w="30" w:type="dxa"/>
            </w:tcMar>
            <w:vAlign w:val="center"/>
          </w:tcPr>
          <w:p w14:paraId="4D76AA12" w14:textId="77777777" w:rsidR="00757780" w:rsidRPr="00757780" w:rsidRDefault="00757780" w:rsidP="00757780">
            <w:pPr>
              <w:spacing w:line="320" w:lineRule="atLeast"/>
              <w:jc w:val="right"/>
              <w:rPr>
                <w:rFonts w:ascii="Arial" w:eastAsia="Calibri" w:hAnsi="Arial" w:cs="Arial"/>
                <w:sz w:val="16"/>
                <w:szCs w:val="16"/>
              </w:rPr>
            </w:pPr>
          </w:p>
        </w:tc>
      </w:tr>
    </w:tbl>
    <w:p w14:paraId="00A2761F" w14:textId="5B9B11AF" w:rsidR="00D83908" w:rsidRPr="00D83908" w:rsidRDefault="00757780" w:rsidP="00D83908">
      <w:pPr>
        <w:rPr>
          <w:rFonts w:ascii="Calibri" w:eastAsia="Calibri" w:hAnsi="Calibri" w:cs="Arial"/>
          <w:sz w:val="16"/>
          <w:szCs w:val="16"/>
        </w:rPr>
      </w:pPr>
      <w:r w:rsidRPr="001A1A2A">
        <w:rPr>
          <w:rFonts w:ascii="Calibri" w:eastAsia="Calibri" w:hAnsi="Calibri" w:cs="Arial"/>
          <w:sz w:val="16"/>
          <w:szCs w:val="16"/>
        </w:rPr>
        <w:t>Table (1) shows no difference in the preoperative heart rate.</w:t>
      </w:r>
    </w:p>
    <w:p w14:paraId="28F83668" w14:textId="413746C3" w:rsidR="00757780" w:rsidRPr="00757780" w:rsidRDefault="00757780" w:rsidP="00757780">
      <w:pPr>
        <w:rPr>
          <w:rFonts w:ascii="Calibri" w:eastAsia="Calibri" w:hAnsi="Calibri" w:cs="Arial"/>
          <w:b/>
          <w:bCs/>
          <w:sz w:val="16"/>
          <w:szCs w:val="16"/>
        </w:rPr>
      </w:pPr>
      <w:r w:rsidRPr="00757780">
        <w:rPr>
          <w:rFonts w:ascii="Calibri" w:eastAsia="Calibri" w:hAnsi="Calibri" w:cs="Arial"/>
          <w:b/>
          <w:bCs/>
          <w:sz w:val="16"/>
          <w:szCs w:val="16"/>
        </w:rPr>
        <w:t>Table (</w:t>
      </w:r>
      <w:r w:rsidR="00FA3A96" w:rsidRPr="001A1A2A">
        <w:rPr>
          <w:rFonts w:ascii="Calibri" w:eastAsia="Calibri" w:hAnsi="Calibri" w:cs="Arial"/>
          <w:b/>
          <w:bCs/>
          <w:sz w:val="16"/>
          <w:szCs w:val="16"/>
        </w:rPr>
        <w:t>4</w:t>
      </w:r>
      <w:r w:rsidRPr="00757780">
        <w:rPr>
          <w:rFonts w:ascii="Calibri" w:eastAsia="Calibri" w:hAnsi="Calibri" w:cs="Arial"/>
          <w:b/>
          <w:bCs/>
          <w:sz w:val="16"/>
          <w:szCs w:val="16"/>
        </w:rPr>
        <w:t xml:space="preserve">) </w:t>
      </w:r>
      <w:r w:rsidR="00E75CA9" w:rsidRPr="001A1A2A">
        <w:rPr>
          <w:rFonts w:ascii="Calibri" w:eastAsia="Calibri" w:hAnsi="Calibri" w:cs="Arial"/>
          <w:b/>
          <w:bCs/>
          <w:sz w:val="16"/>
          <w:szCs w:val="16"/>
        </w:rPr>
        <w:t xml:space="preserve">preoperative mean blood pressure </w:t>
      </w:r>
    </w:p>
    <w:tbl>
      <w:tblPr>
        <w:tblW w:w="9239"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1"/>
        <w:gridCol w:w="3752"/>
        <w:gridCol w:w="1114"/>
        <w:gridCol w:w="1112"/>
        <w:gridCol w:w="1575"/>
        <w:gridCol w:w="1605"/>
      </w:tblGrid>
      <w:tr w:rsidR="00757780" w:rsidRPr="00757780" w14:paraId="27783035" w14:textId="77777777" w:rsidTr="00E75CA9">
        <w:trPr>
          <w:cantSplit/>
          <w:tblHeader/>
        </w:trPr>
        <w:tc>
          <w:tcPr>
            <w:tcW w:w="81" w:type="dxa"/>
            <w:vMerge w:val="restart"/>
            <w:tcBorders>
              <w:left w:val="single" w:sz="16" w:space="0" w:color="000000"/>
              <w:right w:val="nil"/>
            </w:tcBorders>
            <w:shd w:val="clear" w:color="auto" w:fill="FFFFFF"/>
            <w:tcMar>
              <w:top w:w="30" w:type="dxa"/>
              <w:left w:w="30" w:type="dxa"/>
              <w:bottom w:w="30" w:type="dxa"/>
              <w:right w:w="30" w:type="dxa"/>
            </w:tcMar>
          </w:tcPr>
          <w:p w14:paraId="554BE96E" w14:textId="75AE68B8" w:rsidR="00757780" w:rsidRPr="00757780" w:rsidRDefault="00757780" w:rsidP="00757780">
            <w:pPr>
              <w:widowControl w:val="0"/>
              <w:autoSpaceDE w:val="0"/>
              <w:autoSpaceDN w:val="0"/>
              <w:adjustRightInd w:val="0"/>
              <w:spacing w:after="0" w:line="320" w:lineRule="atLeast"/>
              <w:rPr>
                <w:rFonts w:ascii="Arial" w:eastAsia="Times New Roman" w:hAnsi="Arial" w:cs="Arial"/>
                <w:color w:val="000000"/>
                <w:sz w:val="16"/>
                <w:szCs w:val="16"/>
              </w:rPr>
            </w:pPr>
          </w:p>
        </w:tc>
        <w:tc>
          <w:tcPr>
            <w:tcW w:w="3752" w:type="dxa"/>
            <w:tcBorders>
              <w:left w:val="nil"/>
              <w:bottom w:val="nil"/>
              <w:right w:val="single" w:sz="16" w:space="0" w:color="000000"/>
            </w:tcBorders>
            <w:shd w:val="clear" w:color="auto" w:fill="FFFFFF"/>
            <w:tcMar>
              <w:top w:w="30" w:type="dxa"/>
              <w:left w:w="30" w:type="dxa"/>
              <w:bottom w:w="30" w:type="dxa"/>
              <w:right w:w="30" w:type="dxa"/>
            </w:tcMar>
          </w:tcPr>
          <w:p w14:paraId="5C470B48" w14:textId="6534F3E5" w:rsidR="00757780" w:rsidRPr="00757780" w:rsidRDefault="00757780" w:rsidP="00757780">
            <w:pPr>
              <w:widowControl w:val="0"/>
              <w:autoSpaceDE w:val="0"/>
              <w:autoSpaceDN w:val="0"/>
              <w:adjustRightInd w:val="0"/>
              <w:spacing w:after="0" w:line="320" w:lineRule="atLeast"/>
              <w:rPr>
                <w:rFonts w:ascii="Arial" w:eastAsia="Times New Roman" w:hAnsi="Arial" w:cs="Arial"/>
                <w:color w:val="000000"/>
                <w:sz w:val="16"/>
                <w:szCs w:val="16"/>
              </w:rPr>
            </w:pPr>
            <w:r w:rsidRPr="00757780">
              <w:rPr>
                <w:rFonts w:ascii="Arial" w:eastAsia="Times New Roman" w:hAnsi="Arial" w:cs="Arial"/>
                <w:color w:val="000000"/>
                <w:sz w:val="16"/>
                <w:szCs w:val="16"/>
              </w:rPr>
              <w:t>Lidocaine</w:t>
            </w:r>
            <w:r w:rsidR="00E75CA9" w:rsidRPr="001A1A2A">
              <w:rPr>
                <w:rFonts w:ascii="Arial" w:eastAsia="Times New Roman" w:hAnsi="Arial" w:cs="Arial"/>
                <w:color w:val="000000"/>
                <w:sz w:val="16"/>
                <w:szCs w:val="16"/>
              </w:rPr>
              <w:t xml:space="preserve"> group</w:t>
            </w:r>
          </w:p>
        </w:tc>
        <w:tc>
          <w:tcPr>
            <w:tcW w:w="1114" w:type="dxa"/>
            <w:tcBorders>
              <w:left w:val="single" w:sz="16" w:space="0" w:color="000000"/>
              <w:bottom w:val="nil"/>
            </w:tcBorders>
            <w:shd w:val="clear" w:color="auto" w:fill="FFFFFF"/>
            <w:tcMar>
              <w:top w:w="30" w:type="dxa"/>
              <w:left w:w="30" w:type="dxa"/>
              <w:bottom w:w="30" w:type="dxa"/>
              <w:right w:w="30" w:type="dxa"/>
            </w:tcMar>
            <w:vAlign w:val="center"/>
          </w:tcPr>
          <w:p w14:paraId="2C88BFB2"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25</w:t>
            </w:r>
          </w:p>
        </w:tc>
        <w:tc>
          <w:tcPr>
            <w:tcW w:w="1112" w:type="dxa"/>
            <w:tcBorders>
              <w:bottom w:val="nil"/>
            </w:tcBorders>
            <w:shd w:val="clear" w:color="auto" w:fill="FFFFFF"/>
            <w:tcMar>
              <w:top w:w="30" w:type="dxa"/>
              <w:left w:w="30" w:type="dxa"/>
              <w:bottom w:w="30" w:type="dxa"/>
              <w:right w:w="30" w:type="dxa"/>
            </w:tcMar>
            <w:vAlign w:val="center"/>
          </w:tcPr>
          <w:p w14:paraId="152ED0C8"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96.44</w:t>
            </w:r>
          </w:p>
        </w:tc>
        <w:tc>
          <w:tcPr>
            <w:tcW w:w="1575" w:type="dxa"/>
            <w:tcBorders>
              <w:bottom w:val="nil"/>
            </w:tcBorders>
            <w:shd w:val="clear" w:color="auto" w:fill="FFFFFF"/>
            <w:tcMar>
              <w:top w:w="30" w:type="dxa"/>
              <w:left w:w="30" w:type="dxa"/>
              <w:bottom w:w="30" w:type="dxa"/>
              <w:right w:w="30" w:type="dxa"/>
            </w:tcMar>
            <w:vAlign w:val="center"/>
          </w:tcPr>
          <w:p w14:paraId="400C3637"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±6.777</w:t>
            </w:r>
          </w:p>
        </w:tc>
        <w:tc>
          <w:tcPr>
            <w:tcW w:w="1605" w:type="dxa"/>
            <w:tcBorders>
              <w:bottom w:val="nil"/>
              <w:right w:val="single" w:sz="16" w:space="0" w:color="000000"/>
            </w:tcBorders>
            <w:shd w:val="clear" w:color="auto" w:fill="FFFFFF"/>
            <w:tcMar>
              <w:top w:w="30" w:type="dxa"/>
              <w:left w:w="30" w:type="dxa"/>
              <w:bottom w:w="30" w:type="dxa"/>
              <w:right w:w="30" w:type="dxa"/>
            </w:tcMar>
            <w:vAlign w:val="center"/>
          </w:tcPr>
          <w:p w14:paraId="2F88A03E"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0.001</w:t>
            </w:r>
          </w:p>
        </w:tc>
      </w:tr>
      <w:tr w:rsidR="00757780" w:rsidRPr="00757780" w14:paraId="67EDC7B8" w14:textId="77777777" w:rsidTr="00D83908">
        <w:trPr>
          <w:cantSplit/>
          <w:trHeight w:val="175"/>
          <w:tblHeader/>
        </w:trPr>
        <w:tc>
          <w:tcPr>
            <w:tcW w:w="81" w:type="dxa"/>
            <w:vMerge/>
            <w:tcBorders>
              <w:left w:val="single" w:sz="16" w:space="0" w:color="000000"/>
              <w:right w:val="nil"/>
            </w:tcBorders>
            <w:shd w:val="clear" w:color="auto" w:fill="FFFFFF"/>
            <w:tcMar>
              <w:top w:w="30" w:type="dxa"/>
              <w:left w:w="30" w:type="dxa"/>
              <w:bottom w:w="30" w:type="dxa"/>
              <w:right w:w="30" w:type="dxa"/>
            </w:tcMar>
          </w:tcPr>
          <w:p w14:paraId="48DE383F" w14:textId="77777777" w:rsidR="00757780" w:rsidRPr="00757780" w:rsidRDefault="00757780" w:rsidP="00757780">
            <w:pPr>
              <w:widowControl w:val="0"/>
              <w:autoSpaceDE w:val="0"/>
              <w:autoSpaceDN w:val="0"/>
              <w:adjustRightInd w:val="0"/>
              <w:spacing w:after="0" w:line="240" w:lineRule="auto"/>
              <w:rPr>
                <w:rFonts w:ascii="Arial" w:eastAsia="Times New Roman" w:hAnsi="Arial" w:cs="Arial"/>
                <w:color w:val="000000"/>
                <w:sz w:val="16"/>
                <w:szCs w:val="16"/>
              </w:rPr>
            </w:pPr>
          </w:p>
        </w:tc>
        <w:tc>
          <w:tcPr>
            <w:tcW w:w="3752" w:type="dxa"/>
            <w:tcBorders>
              <w:top w:val="nil"/>
              <w:left w:val="nil"/>
              <w:right w:val="single" w:sz="16" w:space="0" w:color="000000"/>
            </w:tcBorders>
            <w:shd w:val="clear" w:color="auto" w:fill="FFFFFF"/>
            <w:tcMar>
              <w:top w:w="30" w:type="dxa"/>
              <w:left w:w="30" w:type="dxa"/>
              <w:bottom w:w="30" w:type="dxa"/>
              <w:right w:w="30" w:type="dxa"/>
            </w:tcMar>
          </w:tcPr>
          <w:p w14:paraId="10209E4F" w14:textId="73B5E3DD" w:rsidR="00757780" w:rsidRPr="00757780" w:rsidRDefault="00757780" w:rsidP="00757780">
            <w:pPr>
              <w:widowControl w:val="0"/>
              <w:autoSpaceDE w:val="0"/>
              <w:autoSpaceDN w:val="0"/>
              <w:adjustRightInd w:val="0"/>
              <w:spacing w:after="0" w:line="320" w:lineRule="atLeast"/>
              <w:rPr>
                <w:rFonts w:ascii="Arial" w:eastAsia="Times New Roman" w:hAnsi="Arial" w:cs="Arial"/>
                <w:color w:val="000000"/>
                <w:sz w:val="16"/>
                <w:szCs w:val="16"/>
              </w:rPr>
            </w:pPr>
            <w:r w:rsidRPr="00757780">
              <w:rPr>
                <w:rFonts w:ascii="Arial" w:eastAsia="Times New Roman" w:hAnsi="Arial" w:cs="Arial"/>
                <w:color w:val="000000"/>
                <w:sz w:val="16"/>
                <w:szCs w:val="16"/>
              </w:rPr>
              <w:t>Fentanyl</w:t>
            </w:r>
            <w:r w:rsidR="00E75CA9" w:rsidRPr="001A1A2A">
              <w:rPr>
                <w:rFonts w:ascii="Arial" w:eastAsia="Times New Roman" w:hAnsi="Arial" w:cs="Arial"/>
                <w:color w:val="000000"/>
                <w:sz w:val="16"/>
                <w:szCs w:val="16"/>
              </w:rPr>
              <w:t xml:space="preserve"> group</w:t>
            </w:r>
          </w:p>
        </w:tc>
        <w:tc>
          <w:tcPr>
            <w:tcW w:w="1114" w:type="dxa"/>
            <w:tcBorders>
              <w:top w:val="nil"/>
              <w:left w:val="single" w:sz="16" w:space="0" w:color="000000"/>
            </w:tcBorders>
            <w:shd w:val="clear" w:color="auto" w:fill="FFFFFF"/>
            <w:tcMar>
              <w:top w:w="30" w:type="dxa"/>
              <w:left w:w="30" w:type="dxa"/>
              <w:bottom w:w="30" w:type="dxa"/>
              <w:right w:w="30" w:type="dxa"/>
            </w:tcMar>
            <w:vAlign w:val="center"/>
          </w:tcPr>
          <w:p w14:paraId="4E65F2DF"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25</w:t>
            </w:r>
          </w:p>
        </w:tc>
        <w:tc>
          <w:tcPr>
            <w:tcW w:w="1112" w:type="dxa"/>
            <w:tcBorders>
              <w:top w:val="nil"/>
            </w:tcBorders>
            <w:shd w:val="clear" w:color="auto" w:fill="FFFFFF"/>
            <w:tcMar>
              <w:top w:w="30" w:type="dxa"/>
              <w:left w:w="30" w:type="dxa"/>
              <w:bottom w:w="30" w:type="dxa"/>
              <w:right w:w="30" w:type="dxa"/>
            </w:tcMar>
            <w:vAlign w:val="center"/>
          </w:tcPr>
          <w:p w14:paraId="38233B5D"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103.28</w:t>
            </w:r>
          </w:p>
        </w:tc>
        <w:tc>
          <w:tcPr>
            <w:tcW w:w="1575" w:type="dxa"/>
            <w:tcBorders>
              <w:top w:val="nil"/>
            </w:tcBorders>
            <w:shd w:val="clear" w:color="auto" w:fill="FFFFFF"/>
            <w:tcMar>
              <w:top w:w="30" w:type="dxa"/>
              <w:left w:w="30" w:type="dxa"/>
              <w:bottom w:w="30" w:type="dxa"/>
              <w:right w:w="30" w:type="dxa"/>
            </w:tcMar>
            <w:vAlign w:val="center"/>
          </w:tcPr>
          <w:p w14:paraId="3AA93D45"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±6.478</w:t>
            </w:r>
          </w:p>
        </w:tc>
        <w:tc>
          <w:tcPr>
            <w:tcW w:w="1605" w:type="dxa"/>
            <w:tcBorders>
              <w:top w:val="nil"/>
              <w:right w:val="single" w:sz="16" w:space="0" w:color="000000"/>
            </w:tcBorders>
            <w:shd w:val="clear" w:color="auto" w:fill="FFFFFF"/>
            <w:tcMar>
              <w:top w:w="30" w:type="dxa"/>
              <w:left w:w="30" w:type="dxa"/>
              <w:bottom w:w="30" w:type="dxa"/>
              <w:right w:w="30" w:type="dxa"/>
            </w:tcMar>
            <w:vAlign w:val="center"/>
          </w:tcPr>
          <w:p w14:paraId="09A05BC8"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p>
        </w:tc>
      </w:tr>
    </w:tbl>
    <w:p w14:paraId="6FD49BBB" w14:textId="043DF870" w:rsidR="00757780" w:rsidRPr="001A1A2A" w:rsidRDefault="00757780" w:rsidP="00FA3A96">
      <w:pPr>
        <w:rPr>
          <w:rFonts w:ascii="Calibri" w:eastAsia="Calibri" w:hAnsi="Calibri" w:cs="Arial"/>
          <w:sz w:val="16"/>
          <w:szCs w:val="16"/>
        </w:rPr>
      </w:pPr>
      <w:r w:rsidRPr="00757780">
        <w:rPr>
          <w:rFonts w:ascii="Calibri" w:eastAsia="Calibri" w:hAnsi="Calibri" w:cs="Arial"/>
          <w:sz w:val="16"/>
          <w:szCs w:val="16"/>
        </w:rPr>
        <w:t>Preoperative mean blood pressure measurement shows no</w:t>
      </w:r>
      <w:r w:rsidR="00E75CA9" w:rsidRPr="001A1A2A">
        <w:rPr>
          <w:rFonts w:ascii="Calibri" w:eastAsia="Calibri" w:hAnsi="Calibri" w:cs="Arial"/>
          <w:sz w:val="16"/>
          <w:szCs w:val="16"/>
        </w:rPr>
        <w:t xml:space="preserve"> statistical</w:t>
      </w:r>
      <w:r w:rsidRPr="00757780">
        <w:rPr>
          <w:rFonts w:ascii="Calibri" w:eastAsia="Calibri" w:hAnsi="Calibri" w:cs="Arial"/>
          <w:sz w:val="16"/>
          <w:szCs w:val="16"/>
        </w:rPr>
        <w:t xml:space="preserve"> difference between the two groups.</w:t>
      </w:r>
    </w:p>
    <w:p w14:paraId="73A62A29" w14:textId="715E4786" w:rsidR="00757780" w:rsidRPr="00757780" w:rsidRDefault="00757780" w:rsidP="00757780">
      <w:pPr>
        <w:rPr>
          <w:rFonts w:ascii="Calibri" w:eastAsia="Calibri" w:hAnsi="Calibri" w:cs="Arial"/>
          <w:b/>
          <w:bCs/>
          <w:sz w:val="16"/>
          <w:szCs w:val="16"/>
        </w:rPr>
      </w:pPr>
      <w:r w:rsidRPr="00757780">
        <w:rPr>
          <w:rFonts w:ascii="Calibri" w:eastAsia="Calibri" w:hAnsi="Calibri" w:cs="Arial"/>
          <w:b/>
          <w:bCs/>
          <w:sz w:val="16"/>
          <w:szCs w:val="16"/>
        </w:rPr>
        <w:t>Table (</w:t>
      </w:r>
      <w:r w:rsidR="00FA3A96" w:rsidRPr="001A1A2A">
        <w:rPr>
          <w:rFonts w:ascii="Calibri" w:eastAsia="Calibri" w:hAnsi="Calibri" w:cs="Arial"/>
          <w:b/>
          <w:bCs/>
          <w:sz w:val="16"/>
          <w:szCs w:val="16"/>
        </w:rPr>
        <w:t>5</w:t>
      </w:r>
      <w:r w:rsidRPr="00757780">
        <w:rPr>
          <w:rFonts w:ascii="Calibri" w:eastAsia="Calibri" w:hAnsi="Calibri" w:cs="Arial"/>
          <w:b/>
          <w:bCs/>
          <w:sz w:val="16"/>
          <w:szCs w:val="16"/>
        </w:rPr>
        <w:t xml:space="preserve">) </w:t>
      </w:r>
      <w:r w:rsidR="00E75CA9" w:rsidRPr="001A1A2A">
        <w:rPr>
          <w:rFonts w:ascii="Calibri" w:eastAsia="Calibri" w:hAnsi="Calibri" w:cs="Arial"/>
          <w:b/>
          <w:bCs/>
          <w:sz w:val="16"/>
          <w:szCs w:val="16"/>
        </w:rPr>
        <w:t>I</w:t>
      </w:r>
      <w:r w:rsidRPr="001A1A2A">
        <w:rPr>
          <w:rFonts w:ascii="Calibri" w:eastAsia="Calibri" w:hAnsi="Calibri" w:cs="Arial"/>
          <w:b/>
          <w:bCs/>
          <w:sz w:val="16"/>
          <w:szCs w:val="16"/>
        </w:rPr>
        <w:t xml:space="preserve">ntraoperative heart rate (HR) </w:t>
      </w:r>
    </w:p>
    <w:tbl>
      <w:tblPr>
        <w:tblW w:w="9239"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1"/>
        <w:gridCol w:w="3752"/>
        <w:gridCol w:w="1114"/>
        <w:gridCol w:w="1112"/>
        <w:gridCol w:w="1575"/>
        <w:gridCol w:w="1605"/>
      </w:tblGrid>
      <w:tr w:rsidR="00757780" w:rsidRPr="00757780" w14:paraId="448491D2" w14:textId="77777777" w:rsidTr="00D83908">
        <w:trPr>
          <w:cantSplit/>
          <w:trHeight w:val="20"/>
          <w:tblHeader/>
        </w:trPr>
        <w:tc>
          <w:tcPr>
            <w:tcW w:w="81" w:type="dxa"/>
            <w:vMerge w:val="restart"/>
            <w:tcBorders>
              <w:left w:val="single" w:sz="16" w:space="0" w:color="000000"/>
              <w:right w:val="nil"/>
            </w:tcBorders>
            <w:shd w:val="clear" w:color="auto" w:fill="FFFFFF"/>
            <w:tcMar>
              <w:top w:w="30" w:type="dxa"/>
              <w:left w:w="30" w:type="dxa"/>
              <w:bottom w:w="30" w:type="dxa"/>
              <w:right w:w="30" w:type="dxa"/>
            </w:tcMar>
          </w:tcPr>
          <w:p w14:paraId="48AC636D" w14:textId="3E3DB6A9" w:rsidR="00757780" w:rsidRPr="00757780" w:rsidRDefault="00757780" w:rsidP="00757780">
            <w:pPr>
              <w:widowControl w:val="0"/>
              <w:autoSpaceDE w:val="0"/>
              <w:autoSpaceDN w:val="0"/>
              <w:adjustRightInd w:val="0"/>
              <w:spacing w:after="0" w:line="320" w:lineRule="atLeast"/>
              <w:rPr>
                <w:rFonts w:ascii="Arial" w:eastAsia="Times New Roman" w:hAnsi="Arial" w:cs="Arial"/>
                <w:color w:val="000000"/>
                <w:sz w:val="16"/>
                <w:szCs w:val="16"/>
              </w:rPr>
            </w:pPr>
            <w:bookmarkStart w:id="2" w:name="_Hlk498192719"/>
            <w:r w:rsidRPr="00757780">
              <w:rPr>
                <w:rFonts w:ascii="Arial" w:eastAsia="Times New Roman" w:hAnsi="Arial" w:cs="Arial"/>
                <w:color w:val="000000"/>
                <w:sz w:val="16"/>
                <w:szCs w:val="16"/>
              </w:rPr>
              <w:t xml:space="preserve"> </w:t>
            </w:r>
            <w:r w:rsidRPr="001A1A2A">
              <w:rPr>
                <w:rFonts w:ascii="Arial" w:eastAsia="Times New Roman" w:hAnsi="Arial" w:cs="Arial"/>
                <w:color w:val="000000"/>
                <w:sz w:val="16"/>
                <w:szCs w:val="16"/>
              </w:rPr>
              <w:t xml:space="preserve"> </w:t>
            </w:r>
          </w:p>
        </w:tc>
        <w:tc>
          <w:tcPr>
            <w:tcW w:w="3752" w:type="dxa"/>
            <w:tcBorders>
              <w:left w:val="nil"/>
              <w:bottom w:val="nil"/>
              <w:right w:val="single" w:sz="16" w:space="0" w:color="000000"/>
            </w:tcBorders>
            <w:shd w:val="clear" w:color="auto" w:fill="FFFFFF"/>
            <w:tcMar>
              <w:top w:w="30" w:type="dxa"/>
              <w:left w:w="30" w:type="dxa"/>
              <w:bottom w:w="30" w:type="dxa"/>
              <w:right w:w="30" w:type="dxa"/>
            </w:tcMar>
          </w:tcPr>
          <w:p w14:paraId="186F223E" w14:textId="7E79E15A" w:rsidR="00757780" w:rsidRPr="00757780" w:rsidRDefault="00757780" w:rsidP="00757780">
            <w:pPr>
              <w:widowControl w:val="0"/>
              <w:autoSpaceDE w:val="0"/>
              <w:autoSpaceDN w:val="0"/>
              <w:adjustRightInd w:val="0"/>
              <w:spacing w:after="0" w:line="320" w:lineRule="atLeast"/>
              <w:rPr>
                <w:rFonts w:ascii="Arial" w:eastAsia="Times New Roman" w:hAnsi="Arial" w:cs="Arial"/>
                <w:color w:val="000000"/>
                <w:sz w:val="16"/>
                <w:szCs w:val="16"/>
              </w:rPr>
            </w:pPr>
            <w:r w:rsidRPr="00757780">
              <w:rPr>
                <w:rFonts w:ascii="Arial" w:eastAsia="Times New Roman" w:hAnsi="Arial" w:cs="Arial"/>
                <w:color w:val="000000"/>
                <w:sz w:val="16"/>
                <w:szCs w:val="16"/>
              </w:rPr>
              <w:t>Lidocaine</w:t>
            </w:r>
            <w:r w:rsidR="00E75CA9" w:rsidRPr="001A1A2A">
              <w:rPr>
                <w:rFonts w:ascii="Arial" w:eastAsia="Times New Roman" w:hAnsi="Arial" w:cs="Arial"/>
                <w:color w:val="000000"/>
                <w:sz w:val="16"/>
                <w:szCs w:val="16"/>
              </w:rPr>
              <w:t xml:space="preserve"> group</w:t>
            </w:r>
          </w:p>
        </w:tc>
        <w:tc>
          <w:tcPr>
            <w:tcW w:w="1114" w:type="dxa"/>
            <w:tcBorders>
              <w:left w:val="single" w:sz="16" w:space="0" w:color="000000"/>
              <w:bottom w:val="nil"/>
            </w:tcBorders>
            <w:shd w:val="clear" w:color="auto" w:fill="FFFFFF"/>
            <w:tcMar>
              <w:top w:w="30" w:type="dxa"/>
              <w:left w:w="30" w:type="dxa"/>
              <w:bottom w:w="30" w:type="dxa"/>
              <w:right w:w="30" w:type="dxa"/>
            </w:tcMar>
            <w:vAlign w:val="center"/>
          </w:tcPr>
          <w:p w14:paraId="7A816F99"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25</w:t>
            </w:r>
          </w:p>
        </w:tc>
        <w:tc>
          <w:tcPr>
            <w:tcW w:w="1112" w:type="dxa"/>
            <w:tcBorders>
              <w:bottom w:val="nil"/>
            </w:tcBorders>
            <w:shd w:val="clear" w:color="auto" w:fill="FFFFFF"/>
            <w:tcMar>
              <w:top w:w="30" w:type="dxa"/>
              <w:left w:w="30" w:type="dxa"/>
              <w:bottom w:w="30" w:type="dxa"/>
              <w:right w:w="30" w:type="dxa"/>
            </w:tcMar>
            <w:vAlign w:val="center"/>
          </w:tcPr>
          <w:p w14:paraId="52A340EF"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61.92</w:t>
            </w:r>
          </w:p>
        </w:tc>
        <w:tc>
          <w:tcPr>
            <w:tcW w:w="1575" w:type="dxa"/>
            <w:tcBorders>
              <w:bottom w:val="nil"/>
            </w:tcBorders>
            <w:shd w:val="clear" w:color="auto" w:fill="FFFFFF"/>
            <w:tcMar>
              <w:top w:w="30" w:type="dxa"/>
              <w:left w:w="30" w:type="dxa"/>
              <w:bottom w:w="30" w:type="dxa"/>
              <w:right w:w="30" w:type="dxa"/>
            </w:tcMar>
            <w:vAlign w:val="center"/>
          </w:tcPr>
          <w:p w14:paraId="5BFEF082"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±6.075</w:t>
            </w:r>
          </w:p>
        </w:tc>
        <w:tc>
          <w:tcPr>
            <w:tcW w:w="1605" w:type="dxa"/>
            <w:tcBorders>
              <w:bottom w:val="nil"/>
              <w:right w:val="single" w:sz="16" w:space="0" w:color="000000"/>
            </w:tcBorders>
            <w:shd w:val="clear" w:color="auto" w:fill="FFFFFF"/>
            <w:tcMar>
              <w:top w:w="30" w:type="dxa"/>
              <w:left w:w="30" w:type="dxa"/>
              <w:bottom w:w="30" w:type="dxa"/>
              <w:right w:w="30" w:type="dxa"/>
            </w:tcMar>
            <w:vAlign w:val="center"/>
          </w:tcPr>
          <w:p w14:paraId="5E5D8357"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&lt;0.001</w:t>
            </w:r>
          </w:p>
        </w:tc>
      </w:tr>
      <w:bookmarkEnd w:id="2"/>
      <w:tr w:rsidR="00757780" w:rsidRPr="00757780" w14:paraId="3EF890CE" w14:textId="77777777" w:rsidTr="00D83908">
        <w:trPr>
          <w:cantSplit/>
          <w:trHeight w:val="184"/>
          <w:tblHeader/>
        </w:trPr>
        <w:tc>
          <w:tcPr>
            <w:tcW w:w="81" w:type="dxa"/>
            <w:vMerge/>
            <w:tcBorders>
              <w:left w:val="single" w:sz="16" w:space="0" w:color="000000"/>
              <w:right w:val="nil"/>
            </w:tcBorders>
            <w:shd w:val="clear" w:color="auto" w:fill="FFFFFF"/>
            <w:tcMar>
              <w:top w:w="30" w:type="dxa"/>
              <w:left w:w="30" w:type="dxa"/>
              <w:bottom w:w="30" w:type="dxa"/>
              <w:right w:w="30" w:type="dxa"/>
            </w:tcMar>
          </w:tcPr>
          <w:p w14:paraId="2CDB10BD" w14:textId="77777777" w:rsidR="00757780" w:rsidRPr="00757780" w:rsidRDefault="00757780" w:rsidP="00757780">
            <w:pPr>
              <w:widowControl w:val="0"/>
              <w:autoSpaceDE w:val="0"/>
              <w:autoSpaceDN w:val="0"/>
              <w:adjustRightInd w:val="0"/>
              <w:spacing w:after="0" w:line="240" w:lineRule="auto"/>
              <w:rPr>
                <w:rFonts w:ascii="Arial" w:eastAsia="Times New Roman" w:hAnsi="Arial" w:cs="Arial"/>
                <w:color w:val="000000"/>
                <w:sz w:val="16"/>
                <w:szCs w:val="16"/>
              </w:rPr>
            </w:pPr>
          </w:p>
        </w:tc>
        <w:tc>
          <w:tcPr>
            <w:tcW w:w="3752" w:type="dxa"/>
            <w:tcBorders>
              <w:top w:val="nil"/>
              <w:left w:val="nil"/>
              <w:right w:val="single" w:sz="16" w:space="0" w:color="000000"/>
            </w:tcBorders>
            <w:shd w:val="clear" w:color="auto" w:fill="FFFFFF"/>
            <w:tcMar>
              <w:top w:w="30" w:type="dxa"/>
              <w:left w:w="30" w:type="dxa"/>
              <w:bottom w:w="30" w:type="dxa"/>
              <w:right w:w="30" w:type="dxa"/>
            </w:tcMar>
          </w:tcPr>
          <w:p w14:paraId="6B1DE844" w14:textId="59815738" w:rsidR="00757780" w:rsidRPr="00757780" w:rsidRDefault="00757780" w:rsidP="00757780">
            <w:pPr>
              <w:widowControl w:val="0"/>
              <w:autoSpaceDE w:val="0"/>
              <w:autoSpaceDN w:val="0"/>
              <w:adjustRightInd w:val="0"/>
              <w:spacing w:after="0" w:line="320" w:lineRule="atLeast"/>
              <w:rPr>
                <w:rFonts w:ascii="Arial" w:eastAsia="Times New Roman" w:hAnsi="Arial" w:cs="Arial"/>
                <w:color w:val="000000"/>
                <w:sz w:val="16"/>
                <w:szCs w:val="16"/>
              </w:rPr>
            </w:pPr>
            <w:r w:rsidRPr="00757780">
              <w:rPr>
                <w:rFonts w:ascii="Arial" w:eastAsia="Times New Roman" w:hAnsi="Arial" w:cs="Arial"/>
                <w:color w:val="000000"/>
                <w:sz w:val="16"/>
                <w:szCs w:val="16"/>
              </w:rPr>
              <w:t>Fentanyl</w:t>
            </w:r>
            <w:r w:rsidR="00E75CA9" w:rsidRPr="001A1A2A">
              <w:rPr>
                <w:rFonts w:ascii="Arial" w:eastAsia="Times New Roman" w:hAnsi="Arial" w:cs="Arial"/>
                <w:color w:val="000000"/>
                <w:sz w:val="16"/>
                <w:szCs w:val="16"/>
              </w:rPr>
              <w:t xml:space="preserve"> group</w:t>
            </w:r>
          </w:p>
        </w:tc>
        <w:tc>
          <w:tcPr>
            <w:tcW w:w="1114" w:type="dxa"/>
            <w:tcBorders>
              <w:top w:val="nil"/>
              <w:left w:val="single" w:sz="16" w:space="0" w:color="000000"/>
            </w:tcBorders>
            <w:shd w:val="clear" w:color="auto" w:fill="FFFFFF"/>
            <w:tcMar>
              <w:top w:w="30" w:type="dxa"/>
              <w:left w:w="30" w:type="dxa"/>
              <w:bottom w:w="30" w:type="dxa"/>
              <w:right w:w="30" w:type="dxa"/>
            </w:tcMar>
            <w:vAlign w:val="center"/>
          </w:tcPr>
          <w:p w14:paraId="75646F16"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25</w:t>
            </w:r>
          </w:p>
        </w:tc>
        <w:tc>
          <w:tcPr>
            <w:tcW w:w="1112" w:type="dxa"/>
            <w:tcBorders>
              <w:top w:val="nil"/>
            </w:tcBorders>
            <w:shd w:val="clear" w:color="auto" w:fill="FFFFFF"/>
            <w:tcMar>
              <w:top w:w="30" w:type="dxa"/>
              <w:left w:w="30" w:type="dxa"/>
              <w:bottom w:w="30" w:type="dxa"/>
              <w:right w:w="30" w:type="dxa"/>
            </w:tcMar>
            <w:vAlign w:val="center"/>
          </w:tcPr>
          <w:p w14:paraId="29069EE6"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89.32</w:t>
            </w:r>
          </w:p>
        </w:tc>
        <w:tc>
          <w:tcPr>
            <w:tcW w:w="1575" w:type="dxa"/>
            <w:tcBorders>
              <w:top w:val="nil"/>
            </w:tcBorders>
            <w:shd w:val="clear" w:color="auto" w:fill="FFFFFF"/>
            <w:tcMar>
              <w:top w:w="30" w:type="dxa"/>
              <w:left w:w="30" w:type="dxa"/>
              <w:bottom w:w="30" w:type="dxa"/>
              <w:right w:w="30" w:type="dxa"/>
            </w:tcMar>
            <w:vAlign w:val="center"/>
          </w:tcPr>
          <w:p w14:paraId="7E0A936D"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±5.907</w:t>
            </w:r>
          </w:p>
        </w:tc>
        <w:tc>
          <w:tcPr>
            <w:tcW w:w="1605" w:type="dxa"/>
            <w:tcBorders>
              <w:top w:val="nil"/>
              <w:right w:val="single" w:sz="16" w:space="0" w:color="000000"/>
            </w:tcBorders>
            <w:shd w:val="clear" w:color="auto" w:fill="FFFFFF"/>
            <w:tcMar>
              <w:top w:w="30" w:type="dxa"/>
              <w:left w:w="30" w:type="dxa"/>
              <w:bottom w:w="30" w:type="dxa"/>
              <w:right w:w="30" w:type="dxa"/>
            </w:tcMar>
            <w:vAlign w:val="center"/>
          </w:tcPr>
          <w:p w14:paraId="76C6AD70"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p>
        </w:tc>
      </w:tr>
    </w:tbl>
    <w:p w14:paraId="6CBD80B6" w14:textId="6D4D6CCC" w:rsidR="00757780" w:rsidRPr="001A1A2A" w:rsidRDefault="00757780" w:rsidP="00E75CA9">
      <w:pPr>
        <w:widowControl w:val="0"/>
        <w:autoSpaceDE w:val="0"/>
        <w:autoSpaceDN w:val="0"/>
        <w:adjustRightInd w:val="0"/>
        <w:spacing w:after="0" w:line="320" w:lineRule="atLeast"/>
        <w:rPr>
          <w:rFonts w:ascii="Arial" w:eastAsia="Times New Roman" w:hAnsi="Arial" w:cs="Arial"/>
          <w:color w:val="000000"/>
          <w:sz w:val="16"/>
          <w:szCs w:val="16"/>
        </w:rPr>
      </w:pPr>
      <w:r w:rsidRPr="00757780">
        <w:rPr>
          <w:rFonts w:ascii="Calibri" w:eastAsia="Calibri" w:hAnsi="Calibri" w:cs="Arial"/>
          <w:sz w:val="16"/>
          <w:szCs w:val="16"/>
        </w:rPr>
        <w:lastRenderedPageBreak/>
        <w:t>Changes in the intr</w:t>
      </w:r>
      <w:r w:rsidRPr="001A1A2A">
        <w:rPr>
          <w:rFonts w:ascii="Calibri" w:eastAsia="Calibri" w:hAnsi="Calibri" w:cs="Arial"/>
          <w:sz w:val="16"/>
          <w:szCs w:val="16"/>
        </w:rPr>
        <w:t>a</w:t>
      </w:r>
      <w:r w:rsidRPr="00757780">
        <w:rPr>
          <w:rFonts w:ascii="Calibri" w:eastAsia="Calibri" w:hAnsi="Calibri" w:cs="Arial"/>
          <w:sz w:val="16"/>
          <w:szCs w:val="16"/>
        </w:rPr>
        <w:t xml:space="preserve">operative heart rate shows significant difference between the two groups (P value </w:t>
      </w:r>
      <w:r w:rsidRPr="00757780">
        <w:rPr>
          <w:rFonts w:ascii="Arial" w:eastAsia="Times New Roman" w:hAnsi="Arial" w:cs="Arial"/>
          <w:color w:val="000000"/>
          <w:sz w:val="16"/>
          <w:szCs w:val="16"/>
        </w:rPr>
        <w:t xml:space="preserve">&lt;0.001). </w:t>
      </w:r>
    </w:p>
    <w:p w14:paraId="059A52FF" w14:textId="77777777" w:rsidR="00D83908" w:rsidRDefault="00D83908" w:rsidP="00757780">
      <w:pPr>
        <w:rPr>
          <w:rFonts w:ascii="Calibri" w:eastAsia="Calibri" w:hAnsi="Calibri" w:cs="Arial"/>
          <w:b/>
          <w:bCs/>
          <w:sz w:val="16"/>
          <w:szCs w:val="16"/>
        </w:rPr>
      </w:pPr>
    </w:p>
    <w:p w14:paraId="3CFFB5E9" w14:textId="20520519" w:rsidR="00757780" w:rsidRPr="00757780" w:rsidRDefault="00757780" w:rsidP="00757780">
      <w:pPr>
        <w:rPr>
          <w:rFonts w:ascii="Calibri" w:eastAsia="Calibri" w:hAnsi="Calibri" w:cs="Arial"/>
          <w:b/>
          <w:bCs/>
          <w:sz w:val="16"/>
          <w:szCs w:val="16"/>
        </w:rPr>
      </w:pPr>
      <w:r w:rsidRPr="00757780">
        <w:rPr>
          <w:rFonts w:ascii="Calibri" w:eastAsia="Calibri" w:hAnsi="Calibri" w:cs="Arial"/>
          <w:b/>
          <w:bCs/>
          <w:sz w:val="16"/>
          <w:szCs w:val="16"/>
        </w:rPr>
        <w:t>Table (</w:t>
      </w:r>
      <w:r w:rsidR="00FA3A96" w:rsidRPr="001A1A2A">
        <w:rPr>
          <w:rFonts w:ascii="Calibri" w:eastAsia="Calibri" w:hAnsi="Calibri" w:cs="Arial"/>
          <w:b/>
          <w:bCs/>
          <w:sz w:val="16"/>
          <w:szCs w:val="16"/>
        </w:rPr>
        <w:t>6</w:t>
      </w:r>
      <w:r w:rsidRPr="00757780">
        <w:rPr>
          <w:rFonts w:ascii="Calibri" w:eastAsia="Calibri" w:hAnsi="Calibri" w:cs="Arial"/>
          <w:b/>
          <w:bCs/>
          <w:sz w:val="16"/>
          <w:szCs w:val="16"/>
        </w:rPr>
        <w:t>)</w:t>
      </w:r>
      <w:r w:rsidRPr="001A1A2A">
        <w:rPr>
          <w:rFonts w:ascii="Calibri" w:eastAsia="Calibri" w:hAnsi="Calibri" w:cs="Arial"/>
          <w:b/>
          <w:bCs/>
          <w:sz w:val="16"/>
          <w:szCs w:val="16"/>
        </w:rPr>
        <w:t xml:space="preserve"> intr</w:t>
      </w:r>
      <w:r w:rsidR="00002BEC" w:rsidRPr="001A1A2A">
        <w:rPr>
          <w:rFonts w:ascii="Calibri" w:eastAsia="Calibri" w:hAnsi="Calibri" w:cs="Arial"/>
          <w:b/>
          <w:bCs/>
          <w:sz w:val="16"/>
          <w:szCs w:val="16"/>
        </w:rPr>
        <w:t>a</w:t>
      </w:r>
      <w:r w:rsidRPr="001A1A2A">
        <w:rPr>
          <w:rFonts w:ascii="Calibri" w:eastAsia="Calibri" w:hAnsi="Calibri" w:cs="Arial"/>
          <w:b/>
          <w:bCs/>
          <w:sz w:val="16"/>
          <w:szCs w:val="16"/>
        </w:rPr>
        <w:t>opera</w:t>
      </w:r>
      <w:r w:rsidR="00002BEC" w:rsidRPr="001A1A2A">
        <w:rPr>
          <w:rFonts w:ascii="Calibri" w:eastAsia="Calibri" w:hAnsi="Calibri" w:cs="Arial"/>
          <w:b/>
          <w:bCs/>
          <w:sz w:val="16"/>
          <w:szCs w:val="16"/>
        </w:rPr>
        <w:t>tive mean blood pressure</w:t>
      </w:r>
    </w:p>
    <w:tbl>
      <w:tblPr>
        <w:tblW w:w="9239"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1"/>
        <w:gridCol w:w="3752"/>
        <w:gridCol w:w="1114"/>
        <w:gridCol w:w="1112"/>
        <w:gridCol w:w="1575"/>
        <w:gridCol w:w="1605"/>
      </w:tblGrid>
      <w:tr w:rsidR="00757780" w:rsidRPr="00757780" w14:paraId="23451846" w14:textId="77777777" w:rsidTr="00D83908">
        <w:trPr>
          <w:cantSplit/>
          <w:trHeight w:val="20"/>
          <w:tblHeader/>
        </w:trPr>
        <w:tc>
          <w:tcPr>
            <w:tcW w:w="81" w:type="dxa"/>
            <w:vMerge w:val="restart"/>
            <w:tcBorders>
              <w:left w:val="single" w:sz="16" w:space="0" w:color="000000"/>
              <w:right w:val="nil"/>
            </w:tcBorders>
            <w:shd w:val="clear" w:color="auto" w:fill="FFFFFF"/>
            <w:tcMar>
              <w:top w:w="30" w:type="dxa"/>
              <w:left w:w="30" w:type="dxa"/>
              <w:bottom w:w="30" w:type="dxa"/>
              <w:right w:w="30" w:type="dxa"/>
            </w:tcMar>
          </w:tcPr>
          <w:p w14:paraId="38F285C9" w14:textId="71B66C6C" w:rsidR="00757780" w:rsidRPr="00757780" w:rsidRDefault="00757780" w:rsidP="00757780">
            <w:pPr>
              <w:widowControl w:val="0"/>
              <w:autoSpaceDE w:val="0"/>
              <w:autoSpaceDN w:val="0"/>
              <w:adjustRightInd w:val="0"/>
              <w:spacing w:after="0" w:line="320" w:lineRule="atLeast"/>
              <w:rPr>
                <w:rFonts w:ascii="Arial" w:eastAsia="Times New Roman" w:hAnsi="Arial" w:cs="Arial"/>
                <w:color w:val="000000"/>
                <w:sz w:val="16"/>
                <w:szCs w:val="16"/>
              </w:rPr>
            </w:pPr>
          </w:p>
          <w:p w14:paraId="4B033733" w14:textId="53298BAC" w:rsidR="00757780" w:rsidRPr="00757780" w:rsidRDefault="00757780" w:rsidP="00757780">
            <w:pPr>
              <w:widowControl w:val="0"/>
              <w:autoSpaceDE w:val="0"/>
              <w:autoSpaceDN w:val="0"/>
              <w:adjustRightInd w:val="0"/>
              <w:spacing w:after="0" w:line="320" w:lineRule="atLeast"/>
              <w:rPr>
                <w:rFonts w:ascii="Arial" w:eastAsia="Times New Roman" w:hAnsi="Arial" w:cs="Arial"/>
                <w:color w:val="000000"/>
                <w:sz w:val="16"/>
                <w:szCs w:val="16"/>
              </w:rPr>
            </w:pPr>
          </w:p>
        </w:tc>
        <w:tc>
          <w:tcPr>
            <w:tcW w:w="3752" w:type="dxa"/>
            <w:tcBorders>
              <w:left w:val="nil"/>
              <w:bottom w:val="nil"/>
              <w:right w:val="single" w:sz="16" w:space="0" w:color="000000"/>
            </w:tcBorders>
            <w:shd w:val="clear" w:color="auto" w:fill="FFFFFF"/>
            <w:tcMar>
              <w:top w:w="30" w:type="dxa"/>
              <w:left w:w="30" w:type="dxa"/>
              <w:bottom w:w="30" w:type="dxa"/>
              <w:right w:w="30" w:type="dxa"/>
            </w:tcMar>
          </w:tcPr>
          <w:p w14:paraId="55698ECB" w14:textId="26974DFE" w:rsidR="00757780" w:rsidRPr="00757780" w:rsidRDefault="00757780" w:rsidP="00757780">
            <w:pPr>
              <w:widowControl w:val="0"/>
              <w:autoSpaceDE w:val="0"/>
              <w:autoSpaceDN w:val="0"/>
              <w:adjustRightInd w:val="0"/>
              <w:spacing w:after="0" w:line="320" w:lineRule="atLeast"/>
              <w:rPr>
                <w:rFonts w:ascii="Arial" w:eastAsia="Times New Roman" w:hAnsi="Arial" w:cs="Arial"/>
                <w:color w:val="000000"/>
                <w:sz w:val="16"/>
                <w:szCs w:val="16"/>
              </w:rPr>
            </w:pPr>
            <w:r w:rsidRPr="00757780">
              <w:rPr>
                <w:rFonts w:ascii="Arial" w:eastAsia="Times New Roman" w:hAnsi="Arial" w:cs="Arial"/>
                <w:color w:val="000000"/>
                <w:sz w:val="16"/>
                <w:szCs w:val="16"/>
              </w:rPr>
              <w:t>Lidocaine</w:t>
            </w:r>
            <w:r w:rsidR="00E75CA9" w:rsidRPr="001A1A2A">
              <w:rPr>
                <w:rFonts w:ascii="Arial" w:eastAsia="Times New Roman" w:hAnsi="Arial" w:cs="Arial"/>
                <w:color w:val="000000"/>
                <w:sz w:val="16"/>
                <w:szCs w:val="16"/>
              </w:rPr>
              <w:t xml:space="preserve"> group</w:t>
            </w:r>
          </w:p>
        </w:tc>
        <w:tc>
          <w:tcPr>
            <w:tcW w:w="1114" w:type="dxa"/>
            <w:tcBorders>
              <w:left w:val="single" w:sz="16" w:space="0" w:color="000000"/>
              <w:bottom w:val="nil"/>
            </w:tcBorders>
            <w:shd w:val="clear" w:color="auto" w:fill="FFFFFF"/>
            <w:tcMar>
              <w:top w:w="30" w:type="dxa"/>
              <w:left w:w="30" w:type="dxa"/>
              <w:bottom w:w="30" w:type="dxa"/>
              <w:right w:w="30" w:type="dxa"/>
            </w:tcMar>
            <w:vAlign w:val="center"/>
          </w:tcPr>
          <w:p w14:paraId="4D97F7D5"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25</w:t>
            </w:r>
          </w:p>
        </w:tc>
        <w:tc>
          <w:tcPr>
            <w:tcW w:w="1112" w:type="dxa"/>
            <w:tcBorders>
              <w:bottom w:val="nil"/>
            </w:tcBorders>
            <w:shd w:val="clear" w:color="auto" w:fill="FFFFFF"/>
            <w:tcMar>
              <w:top w:w="30" w:type="dxa"/>
              <w:left w:w="30" w:type="dxa"/>
              <w:bottom w:w="30" w:type="dxa"/>
              <w:right w:w="30" w:type="dxa"/>
            </w:tcMar>
            <w:vAlign w:val="center"/>
          </w:tcPr>
          <w:p w14:paraId="5A0B8A68"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74.28</w:t>
            </w:r>
          </w:p>
        </w:tc>
        <w:tc>
          <w:tcPr>
            <w:tcW w:w="1575" w:type="dxa"/>
            <w:tcBorders>
              <w:bottom w:val="nil"/>
            </w:tcBorders>
            <w:shd w:val="clear" w:color="auto" w:fill="FFFFFF"/>
            <w:tcMar>
              <w:top w:w="30" w:type="dxa"/>
              <w:left w:w="30" w:type="dxa"/>
              <w:bottom w:w="30" w:type="dxa"/>
              <w:right w:w="30" w:type="dxa"/>
            </w:tcMar>
            <w:vAlign w:val="center"/>
          </w:tcPr>
          <w:p w14:paraId="07C9A46E"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±6.655</w:t>
            </w:r>
          </w:p>
        </w:tc>
        <w:tc>
          <w:tcPr>
            <w:tcW w:w="1605" w:type="dxa"/>
            <w:tcBorders>
              <w:bottom w:val="nil"/>
              <w:right w:val="single" w:sz="16" w:space="0" w:color="000000"/>
            </w:tcBorders>
            <w:shd w:val="clear" w:color="auto" w:fill="FFFFFF"/>
            <w:tcMar>
              <w:top w:w="30" w:type="dxa"/>
              <w:left w:w="30" w:type="dxa"/>
              <w:bottom w:w="30" w:type="dxa"/>
              <w:right w:w="30" w:type="dxa"/>
            </w:tcMar>
            <w:vAlign w:val="center"/>
          </w:tcPr>
          <w:p w14:paraId="5DB5D1F9"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bookmarkStart w:id="3" w:name="_Hlk498192881"/>
            <w:r w:rsidRPr="00757780">
              <w:rPr>
                <w:rFonts w:ascii="Arial" w:eastAsia="Times New Roman" w:hAnsi="Arial" w:cs="Arial"/>
                <w:color w:val="000000"/>
                <w:sz w:val="16"/>
                <w:szCs w:val="16"/>
              </w:rPr>
              <w:t>&lt;0.001</w:t>
            </w:r>
            <w:bookmarkEnd w:id="3"/>
          </w:p>
        </w:tc>
      </w:tr>
      <w:tr w:rsidR="00757780" w:rsidRPr="00757780" w14:paraId="08F305CE" w14:textId="77777777" w:rsidTr="00D83908">
        <w:trPr>
          <w:cantSplit/>
          <w:trHeight w:val="382"/>
          <w:tblHeader/>
        </w:trPr>
        <w:tc>
          <w:tcPr>
            <w:tcW w:w="81" w:type="dxa"/>
            <w:vMerge/>
            <w:tcBorders>
              <w:left w:val="single" w:sz="16" w:space="0" w:color="000000"/>
              <w:right w:val="nil"/>
            </w:tcBorders>
            <w:shd w:val="clear" w:color="auto" w:fill="FFFFFF"/>
            <w:tcMar>
              <w:top w:w="30" w:type="dxa"/>
              <w:left w:w="30" w:type="dxa"/>
              <w:bottom w:w="30" w:type="dxa"/>
              <w:right w:w="30" w:type="dxa"/>
            </w:tcMar>
          </w:tcPr>
          <w:p w14:paraId="2CC0EE9A" w14:textId="77777777" w:rsidR="00757780" w:rsidRPr="00757780" w:rsidRDefault="00757780" w:rsidP="00757780">
            <w:pPr>
              <w:widowControl w:val="0"/>
              <w:autoSpaceDE w:val="0"/>
              <w:autoSpaceDN w:val="0"/>
              <w:adjustRightInd w:val="0"/>
              <w:spacing w:after="0" w:line="240" w:lineRule="auto"/>
              <w:rPr>
                <w:rFonts w:ascii="Arial" w:eastAsia="Times New Roman" w:hAnsi="Arial" w:cs="Arial"/>
                <w:color w:val="000000"/>
                <w:sz w:val="16"/>
                <w:szCs w:val="16"/>
              </w:rPr>
            </w:pPr>
          </w:p>
        </w:tc>
        <w:tc>
          <w:tcPr>
            <w:tcW w:w="3752" w:type="dxa"/>
            <w:tcBorders>
              <w:top w:val="nil"/>
              <w:left w:val="nil"/>
              <w:right w:val="single" w:sz="16" w:space="0" w:color="000000"/>
            </w:tcBorders>
            <w:shd w:val="clear" w:color="auto" w:fill="FFFFFF"/>
            <w:tcMar>
              <w:top w:w="30" w:type="dxa"/>
              <w:left w:w="30" w:type="dxa"/>
              <w:bottom w:w="30" w:type="dxa"/>
              <w:right w:w="30" w:type="dxa"/>
            </w:tcMar>
          </w:tcPr>
          <w:p w14:paraId="008E5421" w14:textId="7E97360D" w:rsidR="00757780" w:rsidRPr="00757780" w:rsidRDefault="00757780" w:rsidP="00757780">
            <w:pPr>
              <w:widowControl w:val="0"/>
              <w:autoSpaceDE w:val="0"/>
              <w:autoSpaceDN w:val="0"/>
              <w:adjustRightInd w:val="0"/>
              <w:spacing w:after="0" w:line="320" w:lineRule="atLeast"/>
              <w:rPr>
                <w:rFonts w:ascii="Arial" w:eastAsia="Times New Roman" w:hAnsi="Arial" w:cs="Arial"/>
                <w:color w:val="000000"/>
                <w:sz w:val="16"/>
                <w:szCs w:val="16"/>
              </w:rPr>
            </w:pPr>
            <w:r w:rsidRPr="00757780">
              <w:rPr>
                <w:rFonts w:ascii="Arial" w:eastAsia="Times New Roman" w:hAnsi="Arial" w:cs="Arial"/>
                <w:color w:val="000000"/>
                <w:sz w:val="16"/>
                <w:szCs w:val="16"/>
              </w:rPr>
              <w:t>Fentanyl</w:t>
            </w:r>
            <w:r w:rsidR="00E75CA9" w:rsidRPr="001A1A2A">
              <w:rPr>
                <w:rFonts w:ascii="Arial" w:eastAsia="Times New Roman" w:hAnsi="Arial" w:cs="Arial"/>
                <w:color w:val="000000"/>
                <w:sz w:val="16"/>
                <w:szCs w:val="16"/>
              </w:rPr>
              <w:t xml:space="preserve"> group</w:t>
            </w:r>
          </w:p>
        </w:tc>
        <w:tc>
          <w:tcPr>
            <w:tcW w:w="1114" w:type="dxa"/>
            <w:tcBorders>
              <w:top w:val="nil"/>
              <w:left w:val="single" w:sz="16" w:space="0" w:color="000000"/>
            </w:tcBorders>
            <w:shd w:val="clear" w:color="auto" w:fill="FFFFFF"/>
            <w:tcMar>
              <w:top w:w="30" w:type="dxa"/>
              <w:left w:w="30" w:type="dxa"/>
              <w:bottom w:w="30" w:type="dxa"/>
              <w:right w:w="30" w:type="dxa"/>
            </w:tcMar>
            <w:vAlign w:val="center"/>
          </w:tcPr>
          <w:p w14:paraId="6F3E22B8"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25</w:t>
            </w:r>
          </w:p>
        </w:tc>
        <w:tc>
          <w:tcPr>
            <w:tcW w:w="1112" w:type="dxa"/>
            <w:tcBorders>
              <w:top w:val="nil"/>
            </w:tcBorders>
            <w:shd w:val="clear" w:color="auto" w:fill="FFFFFF"/>
            <w:tcMar>
              <w:top w:w="30" w:type="dxa"/>
              <w:left w:w="30" w:type="dxa"/>
              <w:bottom w:w="30" w:type="dxa"/>
              <w:right w:w="30" w:type="dxa"/>
            </w:tcMar>
            <w:vAlign w:val="center"/>
          </w:tcPr>
          <w:p w14:paraId="3DC6D78B"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104.08</w:t>
            </w:r>
          </w:p>
        </w:tc>
        <w:tc>
          <w:tcPr>
            <w:tcW w:w="1575" w:type="dxa"/>
            <w:tcBorders>
              <w:top w:val="nil"/>
            </w:tcBorders>
            <w:shd w:val="clear" w:color="auto" w:fill="FFFFFF"/>
            <w:tcMar>
              <w:top w:w="30" w:type="dxa"/>
              <w:left w:w="30" w:type="dxa"/>
              <w:bottom w:w="30" w:type="dxa"/>
              <w:right w:w="30" w:type="dxa"/>
            </w:tcMar>
            <w:vAlign w:val="center"/>
          </w:tcPr>
          <w:p w14:paraId="1047C7B1"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±7.182</w:t>
            </w:r>
          </w:p>
        </w:tc>
        <w:tc>
          <w:tcPr>
            <w:tcW w:w="1605" w:type="dxa"/>
            <w:tcBorders>
              <w:top w:val="nil"/>
              <w:right w:val="single" w:sz="16" w:space="0" w:color="000000"/>
            </w:tcBorders>
            <w:shd w:val="clear" w:color="auto" w:fill="FFFFFF"/>
            <w:tcMar>
              <w:top w:w="30" w:type="dxa"/>
              <w:left w:w="30" w:type="dxa"/>
              <w:bottom w:w="30" w:type="dxa"/>
              <w:right w:w="30" w:type="dxa"/>
            </w:tcMar>
            <w:vAlign w:val="center"/>
          </w:tcPr>
          <w:p w14:paraId="2CC47CC3"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p>
        </w:tc>
      </w:tr>
    </w:tbl>
    <w:p w14:paraId="4E0EF022" w14:textId="454C97FC" w:rsidR="00914462" w:rsidRPr="001A1A2A" w:rsidRDefault="00757780" w:rsidP="001A1A2A">
      <w:pPr>
        <w:rPr>
          <w:rFonts w:ascii="Calibri" w:eastAsia="Calibri" w:hAnsi="Calibri" w:cs="Arial"/>
          <w:sz w:val="16"/>
          <w:szCs w:val="16"/>
        </w:rPr>
      </w:pPr>
      <w:r w:rsidRPr="00757780">
        <w:rPr>
          <w:rFonts w:ascii="Calibri" w:eastAsia="Calibri" w:hAnsi="Calibri" w:cs="Arial"/>
          <w:sz w:val="16"/>
          <w:szCs w:val="16"/>
        </w:rPr>
        <w:t xml:space="preserve">There is </w:t>
      </w:r>
      <w:r w:rsidR="00002BEC" w:rsidRPr="001A1A2A">
        <w:rPr>
          <w:rFonts w:ascii="Calibri" w:eastAsia="Calibri" w:hAnsi="Calibri" w:cs="Arial"/>
          <w:sz w:val="16"/>
          <w:szCs w:val="16"/>
        </w:rPr>
        <w:t xml:space="preserve">a </w:t>
      </w:r>
      <w:r w:rsidRPr="00757780">
        <w:rPr>
          <w:rFonts w:ascii="Calibri" w:eastAsia="Calibri" w:hAnsi="Calibri" w:cs="Arial"/>
          <w:sz w:val="16"/>
          <w:szCs w:val="16"/>
        </w:rPr>
        <w:t>significant difference between the two groups regarding intr</w:t>
      </w:r>
      <w:r w:rsidR="00002BEC" w:rsidRPr="001A1A2A">
        <w:rPr>
          <w:rFonts w:ascii="Calibri" w:eastAsia="Calibri" w:hAnsi="Calibri" w:cs="Arial"/>
          <w:sz w:val="16"/>
          <w:szCs w:val="16"/>
        </w:rPr>
        <w:t>a</w:t>
      </w:r>
      <w:r w:rsidRPr="00757780">
        <w:rPr>
          <w:rFonts w:ascii="Calibri" w:eastAsia="Calibri" w:hAnsi="Calibri" w:cs="Arial"/>
          <w:sz w:val="16"/>
          <w:szCs w:val="16"/>
        </w:rPr>
        <w:t xml:space="preserve">operative mean arterial blood pressure with P value </w:t>
      </w:r>
      <w:r w:rsidRPr="00757780">
        <w:rPr>
          <w:rFonts w:ascii="Arial" w:eastAsia="Times New Roman" w:hAnsi="Arial" w:cs="Arial"/>
          <w:color w:val="000000"/>
          <w:sz w:val="16"/>
          <w:szCs w:val="16"/>
        </w:rPr>
        <w:t>&lt;0.001.</w:t>
      </w:r>
    </w:p>
    <w:p w14:paraId="20DEC5CB" w14:textId="66CC7E1C" w:rsidR="00757780" w:rsidRPr="00757780" w:rsidRDefault="00757780" w:rsidP="00914462">
      <w:pPr>
        <w:rPr>
          <w:rFonts w:ascii="Calibri" w:eastAsia="Calibri" w:hAnsi="Calibri" w:cs="Arial"/>
          <w:sz w:val="16"/>
          <w:szCs w:val="16"/>
        </w:rPr>
      </w:pPr>
      <w:r w:rsidRPr="00757780">
        <w:rPr>
          <w:rFonts w:ascii="Calibri" w:eastAsia="Calibri" w:hAnsi="Calibri" w:cs="Arial"/>
          <w:b/>
          <w:bCs/>
          <w:sz w:val="16"/>
          <w:szCs w:val="16"/>
        </w:rPr>
        <w:t>Table (</w:t>
      </w:r>
      <w:r w:rsidR="00FA3A96" w:rsidRPr="001A1A2A">
        <w:rPr>
          <w:rFonts w:ascii="Calibri" w:eastAsia="Calibri" w:hAnsi="Calibri" w:cs="Arial"/>
          <w:b/>
          <w:bCs/>
          <w:sz w:val="16"/>
          <w:szCs w:val="16"/>
        </w:rPr>
        <w:t>7</w:t>
      </w:r>
      <w:r w:rsidRPr="00757780">
        <w:rPr>
          <w:rFonts w:ascii="Calibri" w:eastAsia="Calibri" w:hAnsi="Calibri" w:cs="Arial"/>
          <w:b/>
          <w:bCs/>
          <w:sz w:val="16"/>
          <w:szCs w:val="16"/>
        </w:rPr>
        <w:t xml:space="preserve">) </w:t>
      </w:r>
      <w:r w:rsidR="00002BEC" w:rsidRPr="001A1A2A">
        <w:rPr>
          <w:rFonts w:ascii="Calibri" w:eastAsia="Calibri" w:hAnsi="Calibri" w:cs="Arial"/>
          <w:b/>
          <w:bCs/>
          <w:sz w:val="16"/>
          <w:szCs w:val="16"/>
        </w:rPr>
        <w:t>Heart rate in the recovery</w:t>
      </w:r>
    </w:p>
    <w:tbl>
      <w:tblPr>
        <w:tblW w:w="9239"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1"/>
        <w:gridCol w:w="3752"/>
        <w:gridCol w:w="1114"/>
        <w:gridCol w:w="1112"/>
        <w:gridCol w:w="1575"/>
        <w:gridCol w:w="1605"/>
      </w:tblGrid>
      <w:tr w:rsidR="00757780" w:rsidRPr="00757780" w14:paraId="5C424916" w14:textId="77777777" w:rsidTr="0011430B">
        <w:trPr>
          <w:cantSplit/>
          <w:tblHeader/>
        </w:trPr>
        <w:tc>
          <w:tcPr>
            <w:tcW w:w="81" w:type="dxa"/>
            <w:vMerge w:val="restart"/>
            <w:tcBorders>
              <w:left w:val="single" w:sz="16" w:space="0" w:color="000000"/>
              <w:right w:val="nil"/>
            </w:tcBorders>
            <w:shd w:val="clear" w:color="auto" w:fill="FFFFFF"/>
            <w:tcMar>
              <w:top w:w="30" w:type="dxa"/>
              <w:left w:w="30" w:type="dxa"/>
              <w:bottom w:w="30" w:type="dxa"/>
              <w:right w:w="30" w:type="dxa"/>
            </w:tcMar>
          </w:tcPr>
          <w:p w14:paraId="2453EE1E" w14:textId="43002688" w:rsidR="00757780" w:rsidRPr="00757780" w:rsidRDefault="00757780" w:rsidP="00757780">
            <w:pPr>
              <w:widowControl w:val="0"/>
              <w:autoSpaceDE w:val="0"/>
              <w:autoSpaceDN w:val="0"/>
              <w:adjustRightInd w:val="0"/>
              <w:spacing w:after="0" w:line="320" w:lineRule="atLeast"/>
              <w:rPr>
                <w:rFonts w:ascii="Arial" w:eastAsia="Times New Roman" w:hAnsi="Arial" w:cs="Arial"/>
                <w:color w:val="000000"/>
                <w:sz w:val="16"/>
                <w:szCs w:val="16"/>
              </w:rPr>
            </w:pPr>
          </w:p>
        </w:tc>
        <w:tc>
          <w:tcPr>
            <w:tcW w:w="3752" w:type="dxa"/>
            <w:tcBorders>
              <w:left w:val="nil"/>
              <w:bottom w:val="nil"/>
              <w:right w:val="single" w:sz="16" w:space="0" w:color="000000"/>
            </w:tcBorders>
            <w:shd w:val="clear" w:color="auto" w:fill="FFFFFF"/>
            <w:tcMar>
              <w:top w:w="30" w:type="dxa"/>
              <w:left w:w="30" w:type="dxa"/>
              <w:bottom w:w="30" w:type="dxa"/>
              <w:right w:w="30" w:type="dxa"/>
            </w:tcMar>
          </w:tcPr>
          <w:p w14:paraId="42E2C90B" w14:textId="788B602E" w:rsidR="00757780" w:rsidRPr="00757780" w:rsidRDefault="00757780" w:rsidP="00757780">
            <w:pPr>
              <w:widowControl w:val="0"/>
              <w:autoSpaceDE w:val="0"/>
              <w:autoSpaceDN w:val="0"/>
              <w:adjustRightInd w:val="0"/>
              <w:spacing w:after="0" w:line="320" w:lineRule="atLeast"/>
              <w:rPr>
                <w:rFonts w:ascii="Arial" w:eastAsia="Times New Roman" w:hAnsi="Arial" w:cs="Arial"/>
                <w:color w:val="000000"/>
                <w:sz w:val="16"/>
                <w:szCs w:val="16"/>
              </w:rPr>
            </w:pPr>
            <w:r w:rsidRPr="00757780">
              <w:rPr>
                <w:rFonts w:ascii="Arial" w:eastAsia="Times New Roman" w:hAnsi="Arial" w:cs="Arial"/>
                <w:color w:val="000000"/>
                <w:sz w:val="16"/>
                <w:szCs w:val="16"/>
              </w:rPr>
              <w:t>Lidocaine</w:t>
            </w:r>
            <w:r w:rsidR="0011430B" w:rsidRPr="001A1A2A">
              <w:rPr>
                <w:rFonts w:ascii="Arial" w:eastAsia="Times New Roman" w:hAnsi="Arial" w:cs="Arial"/>
                <w:color w:val="000000"/>
                <w:sz w:val="16"/>
                <w:szCs w:val="16"/>
              </w:rPr>
              <w:t xml:space="preserve"> group</w:t>
            </w:r>
          </w:p>
        </w:tc>
        <w:tc>
          <w:tcPr>
            <w:tcW w:w="1114" w:type="dxa"/>
            <w:tcBorders>
              <w:left w:val="single" w:sz="16" w:space="0" w:color="000000"/>
              <w:bottom w:val="nil"/>
            </w:tcBorders>
            <w:shd w:val="clear" w:color="auto" w:fill="FFFFFF"/>
            <w:tcMar>
              <w:top w:w="30" w:type="dxa"/>
              <w:left w:w="30" w:type="dxa"/>
              <w:bottom w:w="30" w:type="dxa"/>
              <w:right w:w="30" w:type="dxa"/>
            </w:tcMar>
            <w:vAlign w:val="center"/>
          </w:tcPr>
          <w:p w14:paraId="1147842A"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25</w:t>
            </w:r>
          </w:p>
        </w:tc>
        <w:tc>
          <w:tcPr>
            <w:tcW w:w="1112" w:type="dxa"/>
            <w:tcBorders>
              <w:bottom w:val="nil"/>
            </w:tcBorders>
            <w:shd w:val="clear" w:color="auto" w:fill="FFFFFF"/>
            <w:tcMar>
              <w:top w:w="30" w:type="dxa"/>
              <w:left w:w="30" w:type="dxa"/>
              <w:bottom w:w="30" w:type="dxa"/>
              <w:right w:w="30" w:type="dxa"/>
            </w:tcMar>
            <w:vAlign w:val="center"/>
          </w:tcPr>
          <w:p w14:paraId="7FA5F893"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73.32</w:t>
            </w:r>
          </w:p>
        </w:tc>
        <w:tc>
          <w:tcPr>
            <w:tcW w:w="1575" w:type="dxa"/>
            <w:tcBorders>
              <w:bottom w:val="nil"/>
            </w:tcBorders>
            <w:shd w:val="clear" w:color="auto" w:fill="FFFFFF"/>
            <w:tcMar>
              <w:top w:w="30" w:type="dxa"/>
              <w:left w:w="30" w:type="dxa"/>
              <w:bottom w:w="30" w:type="dxa"/>
              <w:right w:w="30" w:type="dxa"/>
            </w:tcMar>
            <w:vAlign w:val="center"/>
          </w:tcPr>
          <w:p w14:paraId="1D3E1DE2"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±7.169</w:t>
            </w:r>
          </w:p>
        </w:tc>
        <w:tc>
          <w:tcPr>
            <w:tcW w:w="1605" w:type="dxa"/>
            <w:tcBorders>
              <w:bottom w:val="nil"/>
              <w:right w:val="single" w:sz="16" w:space="0" w:color="000000"/>
            </w:tcBorders>
            <w:shd w:val="clear" w:color="auto" w:fill="FFFFFF"/>
            <w:tcMar>
              <w:top w:w="30" w:type="dxa"/>
              <w:left w:w="30" w:type="dxa"/>
              <w:bottom w:w="30" w:type="dxa"/>
              <w:right w:w="30" w:type="dxa"/>
            </w:tcMar>
            <w:vAlign w:val="center"/>
          </w:tcPr>
          <w:p w14:paraId="730D31F4"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&lt;0.001</w:t>
            </w:r>
          </w:p>
        </w:tc>
      </w:tr>
      <w:tr w:rsidR="00757780" w:rsidRPr="00757780" w14:paraId="35CC9B79" w14:textId="77777777" w:rsidTr="00D83908">
        <w:trPr>
          <w:cantSplit/>
          <w:trHeight w:val="292"/>
          <w:tblHeader/>
        </w:trPr>
        <w:tc>
          <w:tcPr>
            <w:tcW w:w="81" w:type="dxa"/>
            <w:vMerge/>
            <w:tcBorders>
              <w:left w:val="single" w:sz="16" w:space="0" w:color="000000"/>
              <w:right w:val="nil"/>
            </w:tcBorders>
            <w:shd w:val="clear" w:color="auto" w:fill="FFFFFF"/>
            <w:tcMar>
              <w:top w:w="30" w:type="dxa"/>
              <w:left w:w="30" w:type="dxa"/>
              <w:bottom w:w="30" w:type="dxa"/>
              <w:right w:w="30" w:type="dxa"/>
            </w:tcMar>
          </w:tcPr>
          <w:p w14:paraId="75FABD1C" w14:textId="77777777" w:rsidR="00757780" w:rsidRPr="00757780" w:rsidRDefault="00757780" w:rsidP="00757780">
            <w:pPr>
              <w:widowControl w:val="0"/>
              <w:autoSpaceDE w:val="0"/>
              <w:autoSpaceDN w:val="0"/>
              <w:adjustRightInd w:val="0"/>
              <w:spacing w:after="0" w:line="240" w:lineRule="auto"/>
              <w:rPr>
                <w:rFonts w:ascii="Arial" w:eastAsia="Times New Roman" w:hAnsi="Arial" w:cs="Arial"/>
                <w:color w:val="000000"/>
                <w:sz w:val="16"/>
                <w:szCs w:val="16"/>
              </w:rPr>
            </w:pPr>
          </w:p>
        </w:tc>
        <w:tc>
          <w:tcPr>
            <w:tcW w:w="3752" w:type="dxa"/>
            <w:tcBorders>
              <w:top w:val="nil"/>
              <w:left w:val="nil"/>
              <w:right w:val="single" w:sz="16" w:space="0" w:color="000000"/>
            </w:tcBorders>
            <w:shd w:val="clear" w:color="auto" w:fill="FFFFFF"/>
            <w:tcMar>
              <w:top w:w="30" w:type="dxa"/>
              <w:left w:w="30" w:type="dxa"/>
              <w:bottom w:w="30" w:type="dxa"/>
              <w:right w:w="30" w:type="dxa"/>
            </w:tcMar>
          </w:tcPr>
          <w:p w14:paraId="2F35DF7F" w14:textId="4F850814" w:rsidR="00757780" w:rsidRPr="00757780" w:rsidRDefault="00757780" w:rsidP="00757780">
            <w:pPr>
              <w:widowControl w:val="0"/>
              <w:autoSpaceDE w:val="0"/>
              <w:autoSpaceDN w:val="0"/>
              <w:adjustRightInd w:val="0"/>
              <w:spacing w:after="0" w:line="320" w:lineRule="atLeast"/>
              <w:rPr>
                <w:rFonts w:ascii="Arial" w:eastAsia="Times New Roman" w:hAnsi="Arial" w:cs="Arial"/>
                <w:color w:val="000000"/>
                <w:sz w:val="16"/>
                <w:szCs w:val="16"/>
              </w:rPr>
            </w:pPr>
            <w:r w:rsidRPr="00757780">
              <w:rPr>
                <w:rFonts w:ascii="Arial" w:eastAsia="Times New Roman" w:hAnsi="Arial" w:cs="Arial"/>
                <w:color w:val="000000"/>
                <w:sz w:val="16"/>
                <w:szCs w:val="16"/>
              </w:rPr>
              <w:t>Fentanyl</w:t>
            </w:r>
            <w:r w:rsidR="0011430B" w:rsidRPr="001A1A2A">
              <w:rPr>
                <w:rFonts w:ascii="Arial" w:eastAsia="Times New Roman" w:hAnsi="Arial" w:cs="Arial"/>
                <w:color w:val="000000"/>
                <w:sz w:val="16"/>
                <w:szCs w:val="16"/>
              </w:rPr>
              <w:t xml:space="preserve"> group</w:t>
            </w:r>
          </w:p>
        </w:tc>
        <w:tc>
          <w:tcPr>
            <w:tcW w:w="1114" w:type="dxa"/>
            <w:tcBorders>
              <w:top w:val="nil"/>
              <w:left w:val="single" w:sz="16" w:space="0" w:color="000000"/>
            </w:tcBorders>
            <w:shd w:val="clear" w:color="auto" w:fill="FFFFFF"/>
            <w:tcMar>
              <w:top w:w="30" w:type="dxa"/>
              <w:left w:w="30" w:type="dxa"/>
              <w:bottom w:w="30" w:type="dxa"/>
              <w:right w:w="30" w:type="dxa"/>
            </w:tcMar>
            <w:vAlign w:val="center"/>
          </w:tcPr>
          <w:p w14:paraId="40CBDC96"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25</w:t>
            </w:r>
          </w:p>
        </w:tc>
        <w:tc>
          <w:tcPr>
            <w:tcW w:w="1112" w:type="dxa"/>
            <w:tcBorders>
              <w:top w:val="nil"/>
            </w:tcBorders>
            <w:shd w:val="clear" w:color="auto" w:fill="FFFFFF"/>
            <w:tcMar>
              <w:top w:w="30" w:type="dxa"/>
              <w:left w:w="30" w:type="dxa"/>
              <w:bottom w:w="30" w:type="dxa"/>
              <w:right w:w="30" w:type="dxa"/>
            </w:tcMar>
            <w:vAlign w:val="center"/>
          </w:tcPr>
          <w:p w14:paraId="67DA2AF9"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111.12</w:t>
            </w:r>
          </w:p>
        </w:tc>
        <w:tc>
          <w:tcPr>
            <w:tcW w:w="1575" w:type="dxa"/>
            <w:tcBorders>
              <w:top w:val="nil"/>
            </w:tcBorders>
            <w:shd w:val="clear" w:color="auto" w:fill="FFFFFF"/>
            <w:tcMar>
              <w:top w:w="30" w:type="dxa"/>
              <w:left w:w="30" w:type="dxa"/>
              <w:bottom w:w="30" w:type="dxa"/>
              <w:right w:w="30" w:type="dxa"/>
            </w:tcMar>
            <w:vAlign w:val="center"/>
          </w:tcPr>
          <w:p w14:paraId="37AF9369"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±6.597</w:t>
            </w:r>
          </w:p>
        </w:tc>
        <w:tc>
          <w:tcPr>
            <w:tcW w:w="1605" w:type="dxa"/>
            <w:tcBorders>
              <w:top w:val="nil"/>
              <w:right w:val="single" w:sz="16" w:space="0" w:color="000000"/>
            </w:tcBorders>
            <w:shd w:val="clear" w:color="auto" w:fill="FFFFFF"/>
            <w:tcMar>
              <w:top w:w="30" w:type="dxa"/>
              <w:left w:w="30" w:type="dxa"/>
              <w:bottom w:w="30" w:type="dxa"/>
              <w:right w:w="30" w:type="dxa"/>
            </w:tcMar>
            <w:vAlign w:val="center"/>
          </w:tcPr>
          <w:p w14:paraId="65B6EDC5"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p>
        </w:tc>
      </w:tr>
    </w:tbl>
    <w:p w14:paraId="7E95735B" w14:textId="022B25C8" w:rsidR="00757780" w:rsidRPr="00757780" w:rsidRDefault="00757780" w:rsidP="00757780">
      <w:pPr>
        <w:rPr>
          <w:rFonts w:ascii="Calibri" w:eastAsia="Calibri" w:hAnsi="Calibri" w:cs="Arial"/>
          <w:sz w:val="16"/>
          <w:szCs w:val="16"/>
        </w:rPr>
      </w:pPr>
      <w:bookmarkStart w:id="4" w:name="_Hlk498193305"/>
      <w:r w:rsidRPr="00757780">
        <w:rPr>
          <w:rFonts w:ascii="Calibri" w:eastAsia="Calibri" w:hAnsi="Calibri" w:cs="Arial"/>
          <w:sz w:val="16"/>
          <w:szCs w:val="16"/>
        </w:rPr>
        <w:t>Regarding heart rate in the recovery there is</w:t>
      </w:r>
      <w:r w:rsidR="00002BEC" w:rsidRPr="001A1A2A">
        <w:rPr>
          <w:rFonts w:ascii="Calibri" w:eastAsia="Calibri" w:hAnsi="Calibri" w:cs="Arial"/>
          <w:sz w:val="16"/>
          <w:szCs w:val="16"/>
        </w:rPr>
        <w:t xml:space="preserve"> a</w:t>
      </w:r>
      <w:r w:rsidRPr="00757780">
        <w:rPr>
          <w:rFonts w:ascii="Calibri" w:eastAsia="Calibri" w:hAnsi="Calibri" w:cs="Arial"/>
          <w:sz w:val="16"/>
          <w:szCs w:val="16"/>
        </w:rPr>
        <w:t xml:space="preserve"> significant increase in the rate in the fentanyl group to the lidocaine group with P value </w:t>
      </w:r>
      <w:r w:rsidRPr="00757780">
        <w:rPr>
          <w:rFonts w:ascii="Arial" w:eastAsia="Times New Roman" w:hAnsi="Arial" w:cs="Arial"/>
          <w:color w:val="000000"/>
          <w:sz w:val="16"/>
          <w:szCs w:val="16"/>
        </w:rPr>
        <w:t>&lt;0.001.</w:t>
      </w:r>
    </w:p>
    <w:bookmarkEnd w:id="4"/>
    <w:p w14:paraId="46777487" w14:textId="1D945A4B" w:rsidR="00757780" w:rsidRPr="00757780" w:rsidRDefault="00757780" w:rsidP="00757780">
      <w:pPr>
        <w:rPr>
          <w:rFonts w:ascii="Calibri" w:eastAsia="Calibri" w:hAnsi="Calibri" w:cs="Arial"/>
          <w:b/>
          <w:bCs/>
          <w:sz w:val="16"/>
          <w:szCs w:val="16"/>
        </w:rPr>
      </w:pPr>
      <w:r w:rsidRPr="00757780">
        <w:rPr>
          <w:rFonts w:ascii="Calibri" w:eastAsia="Calibri" w:hAnsi="Calibri" w:cs="Arial"/>
          <w:b/>
          <w:bCs/>
          <w:sz w:val="16"/>
          <w:szCs w:val="16"/>
        </w:rPr>
        <w:t>Table (</w:t>
      </w:r>
      <w:r w:rsidR="00FA3A96" w:rsidRPr="001A1A2A">
        <w:rPr>
          <w:rFonts w:ascii="Calibri" w:eastAsia="Calibri" w:hAnsi="Calibri" w:cs="Arial"/>
          <w:b/>
          <w:bCs/>
          <w:sz w:val="16"/>
          <w:szCs w:val="16"/>
        </w:rPr>
        <w:t>8</w:t>
      </w:r>
      <w:r w:rsidRPr="00757780">
        <w:rPr>
          <w:rFonts w:ascii="Calibri" w:eastAsia="Calibri" w:hAnsi="Calibri" w:cs="Arial"/>
          <w:b/>
          <w:bCs/>
          <w:sz w:val="16"/>
          <w:szCs w:val="16"/>
        </w:rPr>
        <w:t>)</w:t>
      </w:r>
      <w:r w:rsidR="00002BEC" w:rsidRPr="001A1A2A">
        <w:rPr>
          <w:rFonts w:ascii="Calibri" w:eastAsia="Calibri" w:hAnsi="Calibri" w:cs="Arial"/>
          <w:b/>
          <w:bCs/>
          <w:sz w:val="16"/>
          <w:szCs w:val="16"/>
        </w:rPr>
        <w:t xml:space="preserve"> </w:t>
      </w:r>
      <w:r w:rsidR="00CD6CBD" w:rsidRPr="001A1A2A">
        <w:rPr>
          <w:rFonts w:ascii="Calibri" w:eastAsia="Calibri" w:hAnsi="Calibri" w:cs="Arial"/>
          <w:b/>
          <w:bCs/>
          <w:sz w:val="16"/>
          <w:szCs w:val="16"/>
        </w:rPr>
        <w:t>Me</w:t>
      </w:r>
      <w:r w:rsidR="00002BEC" w:rsidRPr="001A1A2A">
        <w:rPr>
          <w:rFonts w:ascii="Calibri" w:eastAsia="Calibri" w:hAnsi="Calibri" w:cs="Arial"/>
          <w:b/>
          <w:bCs/>
          <w:sz w:val="16"/>
          <w:szCs w:val="16"/>
        </w:rPr>
        <w:t xml:space="preserve">an blood pressure </w:t>
      </w:r>
      <w:r w:rsidR="00CD6CBD" w:rsidRPr="001A1A2A">
        <w:rPr>
          <w:rFonts w:ascii="Calibri" w:eastAsia="Calibri" w:hAnsi="Calibri" w:cs="Arial"/>
          <w:b/>
          <w:bCs/>
          <w:sz w:val="16"/>
          <w:szCs w:val="16"/>
        </w:rPr>
        <w:t xml:space="preserve">changes </w:t>
      </w:r>
      <w:r w:rsidR="00002BEC" w:rsidRPr="001A1A2A">
        <w:rPr>
          <w:rFonts w:ascii="Calibri" w:eastAsia="Calibri" w:hAnsi="Calibri" w:cs="Arial"/>
          <w:b/>
          <w:bCs/>
          <w:sz w:val="16"/>
          <w:szCs w:val="16"/>
        </w:rPr>
        <w:t>in the recovery</w:t>
      </w:r>
    </w:p>
    <w:tbl>
      <w:tblPr>
        <w:tblW w:w="9239"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1"/>
        <w:gridCol w:w="3752"/>
        <w:gridCol w:w="1114"/>
        <w:gridCol w:w="1112"/>
        <w:gridCol w:w="1575"/>
        <w:gridCol w:w="1605"/>
      </w:tblGrid>
      <w:tr w:rsidR="00757780" w:rsidRPr="00757780" w14:paraId="21CF324A" w14:textId="77777777" w:rsidTr="0011430B">
        <w:trPr>
          <w:cantSplit/>
          <w:tblHeader/>
        </w:trPr>
        <w:tc>
          <w:tcPr>
            <w:tcW w:w="81" w:type="dxa"/>
            <w:vMerge w:val="restart"/>
            <w:tcBorders>
              <w:left w:val="single" w:sz="16" w:space="0" w:color="000000"/>
              <w:right w:val="nil"/>
            </w:tcBorders>
            <w:shd w:val="clear" w:color="auto" w:fill="FFFFFF"/>
            <w:tcMar>
              <w:top w:w="30" w:type="dxa"/>
              <w:left w:w="30" w:type="dxa"/>
              <w:bottom w:w="30" w:type="dxa"/>
              <w:right w:w="30" w:type="dxa"/>
            </w:tcMar>
          </w:tcPr>
          <w:p w14:paraId="6DB61D7F" w14:textId="4306D4EC" w:rsidR="00757780" w:rsidRPr="00757780" w:rsidRDefault="00757780" w:rsidP="00757780">
            <w:pPr>
              <w:widowControl w:val="0"/>
              <w:autoSpaceDE w:val="0"/>
              <w:autoSpaceDN w:val="0"/>
              <w:adjustRightInd w:val="0"/>
              <w:spacing w:after="0" w:line="320" w:lineRule="atLeast"/>
              <w:rPr>
                <w:rFonts w:ascii="Arial" w:eastAsia="Times New Roman" w:hAnsi="Arial" w:cs="Arial"/>
                <w:color w:val="000000"/>
                <w:sz w:val="16"/>
                <w:szCs w:val="16"/>
              </w:rPr>
            </w:pPr>
          </w:p>
        </w:tc>
        <w:tc>
          <w:tcPr>
            <w:tcW w:w="3752" w:type="dxa"/>
            <w:tcBorders>
              <w:left w:val="nil"/>
              <w:bottom w:val="nil"/>
              <w:right w:val="single" w:sz="16" w:space="0" w:color="000000"/>
            </w:tcBorders>
            <w:shd w:val="clear" w:color="auto" w:fill="FFFFFF"/>
            <w:tcMar>
              <w:top w:w="30" w:type="dxa"/>
              <w:left w:w="30" w:type="dxa"/>
              <w:bottom w:w="30" w:type="dxa"/>
              <w:right w:w="30" w:type="dxa"/>
            </w:tcMar>
          </w:tcPr>
          <w:p w14:paraId="7E9692D6" w14:textId="75C99861" w:rsidR="00757780" w:rsidRPr="00757780" w:rsidRDefault="00757780" w:rsidP="00757780">
            <w:pPr>
              <w:widowControl w:val="0"/>
              <w:autoSpaceDE w:val="0"/>
              <w:autoSpaceDN w:val="0"/>
              <w:adjustRightInd w:val="0"/>
              <w:spacing w:after="0" w:line="320" w:lineRule="atLeast"/>
              <w:rPr>
                <w:rFonts w:ascii="Arial" w:eastAsia="Times New Roman" w:hAnsi="Arial" w:cs="Arial"/>
                <w:color w:val="000000"/>
                <w:sz w:val="16"/>
                <w:szCs w:val="16"/>
              </w:rPr>
            </w:pPr>
            <w:r w:rsidRPr="00757780">
              <w:rPr>
                <w:rFonts w:ascii="Arial" w:eastAsia="Times New Roman" w:hAnsi="Arial" w:cs="Arial"/>
                <w:color w:val="000000"/>
                <w:sz w:val="16"/>
                <w:szCs w:val="16"/>
              </w:rPr>
              <w:t>Lidocaine</w:t>
            </w:r>
            <w:r w:rsidR="0011430B" w:rsidRPr="001A1A2A">
              <w:rPr>
                <w:rFonts w:ascii="Arial" w:eastAsia="Times New Roman" w:hAnsi="Arial" w:cs="Arial"/>
                <w:color w:val="000000"/>
                <w:sz w:val="16"/>
                <w:szCs w:val="16"/>
              </w:rPr>
              <w:t xml:space="preserve"> group</w:t>
            </w:r>
          </w:p>
        </w:tc>
        <w:tc>
          <w:tcPr>
            <w:tcW w:w="1114" w:type="dxa"/>
            <w:tcBorders>
              <w:left w:val="single" w:sz="16" w:space="0" w:color="000000"/>
              <w:bottom w:val="nil"/>
            </w:tcBorders>
            <w:shd w:val="clear" w:color="auto" w:fill="FFFFFF"/>
            <w:tcMar>
              <w:top w:w="30" w:type="dxa"/>
              <w:left w:w="30" w:type="dxa"/>
              <w:bottom w:w="30" w:type="dxa"/>
              <w:right w:w="30" w:type="dxa"/>
            </w:tcMar>
            <w:vAlign w:val="center"/>
          </w:tcPr>
          <w:p w14:paraId="718C05C3"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25</w:t>
            </w:r>
          </w:p>
        </w:tc>
        <w:tc>
          <w:tcPr>
            <w:tcW w:w="1112" w:type="dxa"/>
            <w:tcBorders>
              <w:bottom w:val="nil"/>
            </w:tcBorders>
            <w:shd w:val="clear" w:color="auto" w:fill="FFFFFF"/>
            <w:tcMar>
              <w:top w:w="30" w:type="dxa"/>
              <w:left w:w="30" w:type="dxa"/>
              <w:bottom w:w="30" w:type="dxa"/>
              <w:right w:w="30" w:type="dxa"/>
            </w:tcMar>
            <w:vAlign w:val="center"/>
          </w:tcPr>
          <w:p w14:paraId="23C60AF1"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74.28</w:t>
            </w:r>
          </w:p>
        </w:tc>
        <w:tc>
          <w:tcPr>
            <w:tcW w:w="1575" w:type="dxa"/>
            <w:tcBorders>
              <w:bottom w:val="nil"/>
            </w:tcBorders>
            <w:shd w:val="clear" w:color="auto" w:fill="FFFFFF"/>
            <w:tcMar>
              <w:top w:w="30" w:type="dxa"/>
              <w:left w:w="30" w:type="dxa"/>
              <w:bottom w:w="30" w:type="dxa"/>
              <w:right w:w="30" w:type="dxa"/>
            </w:tcMar>
            <w:vAlign w:val="center"/>
          </w:tcPr>
          <w:p w14:paraId="7F9E9830"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±6.655</w:t>
            </w:r>
          </w:p>
        </w:tc>
        <w:tc>
          <w:tcPr>
            <w:tcW w:w="1605" w:type="dxa"/>
            <w:tcBorders>
              <w:bottom w:val="nil"/>
              <w:right w:val="single" w:sz="16" w:space="0" w:color="000000"/>
            </w:tcBorders>
            <w:shd w:val="clear" w:color="auto" w:fill="FFFFFF"/>
            <w:tcMar>
              <w:top w:w="30" w:type="dxa"/>
              <w:left w:w="30" w:type="dxa"/>
              <w:bottom w:w="30" w:type="dxa"/>
              <w:right w:w="30" w:type="dxa"/>
            </w:tcMar>
            <w:vAlign w:val="center"/>
          </w:tcPr>
          <w:p w14:paraId="02416513"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&lt;0.001</w:t>
            </w:r>
          </w:p>
        </w:tc>
      </w:tr>
      <w:tr w:rsidR="00757780" w:rsidRPr="00757780" w14:paraId="3AF648E4" w14:textId="77777777" w:rsidTr="00D83908">
        <w:trPr>
          <w:cantSplit/>
          <w:trHeight w:val="139"/>
          <w:tblHeader/>
        </w:trPr>
        <w:tc>
          <w:tcPr>
            <w:tcW w:w="81" w:type="dxa"/>
            <w:vMerge/>
            <w:tcBorders>
              <w:left w:val="single" w:sz="16" w:space="0" w:color="000000"/>
              <w:right w:val="nil"/>
            </w:tcBorders>
            <w:shd w:val="clear" w:color="auto" w:fill="FFFFFF"/>
            <w:tcMar>
              <w:top w:w="30" w:type="dxa"/>
              <w:left w:w="30" w:type="dxa"/>
              <w:bottom w:w="30" w:type="dxa"/>
              <w:right w:w="30" w:type="dxa"/>
            </w:tcMar>
          </w:tcPr>
          <w:p w14:paraId="24C9170E" w14:textId="77777777" w:rsidR="00757780" w:rsidRPr="00757780" w:rsidRDefault="00757780" w:rsidP="00757780">
            <w:pPr>
              <w:widowControl w:val="0"/>
              <w:autoSpaceDE w:val="0"/>
              <w:autoSpaceDN w:val="0"/>
              <w:adjustRightInd w:val="0"/>
              <w:spacing w:after="0" w:line="240" w:lineRule="auto"/>
              <w:rPr>
                <w:rFonts w:ascii="Arial" w:eastAsia="Times New Roman" w:hAnsi="Arial" w:cs="Arial"/>
                <w:color w:val="000000"/>
                <w:sz w:val="16"/>
                <w:szCs w:val="16"/>
              </w:rPr>
            </w:pPr>
          </w:p>
        </w:tc>
        <w:tc>
          <w:tcPr>
            <w:tcW w:w="3752" w:type="dxa"/>
            <w:tcBorders>
              <w:top w:val="nil"/>
              <w:left w:val="nil"/>
              <w:right w:val="single" w:sz="16" w:space="0" w:color="000000"/>
            </w:tcBorders>
            <w:shd w:val="clear" w:color="auto" w:fill="FFFFFF"/>
            <w:tcMar>
              <w:top w:w="30" w:type="dxa"/>
              <w:left w:w="30" w:type="dxa"/>
              <w:bottom w:w="30" w:type="dxa"/>
              <w:right w:w="30" w:type="dxa"/>
            </w:tcMar>
          </w:tcPr>
          <w:p w14:paraId="51863A38" w14:textId="7ABD5612" w:rsidR="00757780" w:rsidRPr="00757780" w:rsidRDefault="00757780" w:rsidP="00757780">
            <w:pPr>
              <w:widowControl w:val="0"/>
              <w:autoSpaceDE w:val="0"/>
              <w:autoSpaceDN w:val="0"/>
              <w:adjustRightInd w:val="0"/>
              <w:spacing w:after="0" w:line="320" w:lineRule="atLeast"/>
              <w:rPr>
                <w:rFonts w:ascii="Arial" w:eastAsia="Times New Roman" w:hAnsi="Arial" w:cs="Arial"/>
                <w:color w:val="000000"/>
                <w:sz w:val="16"/>
                <w:szCs w:val="16"/>
              </w:rPr>
            </w:pPr>
            <w:r w:rsidRPr="00757780">
              <w:rPr>
                <w:rFonts w:ascii="Arial" w:eastAsia="Times New Roman" w:hAnsi="Arial" w:cs="Arial"/>
                <w:color w:val="000000"/>
                <w:sz w:val="16"/>
                <w:szCs w:val="16"/>
              </w:rPr>
              <w:t>Fentanyl</w:t>
            </w:r>
            <w:r w:rsidR="0011430B" w:rsidRPr="001A1A2A">
              <w:rPr>
                <w:rFonts w:ascii="Arial" w:eastAsia="Times New Roman" w:hAnsi="Arial" w:cs="Arial"/>
                <w:color w:val="000000"/>
                <w:sz w:val="16"/>
                <w:szCs w:val="16"/>
              </w:rPr>
              <w:t xml:space="preserve"> group</w:t>
            </w:r>
          </w:p>
        </w:tc>
        <w:tc>
          <w:tcPr>
            <w:tcW w:w="1114" w:type="dxa"/>
            <w:tcBorders>
              <w:top w:val="nil"/>
              <w:left w:val="single" w:sz="16" w:space="0" w:color="000000"/>
            </w:tcBorders>
            <w:shd w:val="clear" w:color="auto" w:fill="FFFFFF"/>
            <w:tcMar>
              <w:top w:w="30" w:type="dxa"/>
              <w:left w:w="30" w:type="dxa"/>
              <w:bottom w:w="30" w:type="dxa"/>
              <w:right w:w="30" w:type="dxa"/>
            </w:tcMar>
            <w:vAlign w:val="center"/>
          </w:tcPr>
          <w:p w14:paraId="257450C9"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25</w:t>
            </w:r>
          </w:p>
        </w:tc>
        <w:tc>
          <w:tcPr>
            <w:tcW w:w="1112" w:type="dxa"/>
            <w:tcBorders>
              <w:top w:val="nil"/>
            </w:tcBorders>
            <w:shd w:val="clear" w:color="auto" w:fill="FFFFFF"/>
            <w:tcMar>
              <w:top w:w="30" w:type="dxa"/>
              <w:left w:w="30" w:type="dxa"/>
              <w:bottom w:w="30" w:type="dxa"/>
              <w:right w:w="30" w:type="dxa"/>
            </w:tcMar>
            <w:vAlign w:val="center"/>
          </w:tcPr>
          <w:p w14:paraId="7A4BEBB5"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107.64</w:t>
            </w:r>
          </w:p>
        </w:tc>
        <w:tc>
          <w:tcPr>
            <w:tcW w:w="1575" w:type="dxa"/>
            <w:tcBorders>
              <w:top w:val="nil"/>
            </w:tcBorders>
            <w:shd w:val="clear" w:color="auto" w:fill="FFFFFF"/>
            <w:tcMar>
              <w:top w:w="30" w:type="dxa"/>
              <w:left w:w="30" w:type="dxa"/>
              <w:bottom w:w="30" w:type="dxa"/>
              <w:right w:w="30" w:type="dxa"/>
            </w:tcMar>
            <w:vAlign w:val="center"/>
          </w:tcPr>
          <w:p w14:paraId="4D9E83E7"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±7.979</w:t>
            </w:r>
          </w:p>
        </w:tc>
        <w:tc>
          <w:tcPr>
            <w:tcW w:w="1605" w:type="dxa"/>
            <w:tcBorders>
              <w:top w:val="nil"/>
              <w:right w:val="single" w:sz="16" w:space="0" w:color="000000"/>
            </w:tcBorders>
            <w:shd w:val="clear" w:color="auto" w:fill="FFFFFF"/>
            <w:tcMar>
              <w:top w:w="30" w:type="dxa"/>
              <w:left w:w="30" w:type="dxa"/>
              <w:bottom w:w="30" w:type="dxa"/>
              <w:right w:w="30" w:type="dxa"/>
            </w:tcMar>
            <w:vAlign w:val="center"/>
          </w:tcPr>
          <w:p w14:paraId="55370637"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p>
        </w:tc>
      </w:tr>
    </w:tbl>
    <w:p w14:paraId="43C76C65" w14:textId="266F655B" w:rsidR="00FA3A96" w:rsidRDefault="00757780" w:rsidP="00FA3A96">
      <w:pPr>
        <w:rPr>
          <w:rFonts w:ascii="Arial" w:eastAsia="Times New Roman" w:hAnsi="Arial" w:cs="Arial"/>
          <w:color w:val="000000"/>
          <w:sz w:val="16"/>
          <w:szCs w:val="16"/>
        </w:rPr>
      </w:pPr>
      <w:r w:rsidRPr="00757780">
        <w:rPr>
          <w:rFonts w:ascii="Calibri" w:eastAsia="Calibri" w:hAnsi="Calibri" w:cs="Arial"/>
          <w:sz w:val="16"/>
          <w:szCs w:val="16"/>
        </w:rPr>
        <w:t>Regarding mean blood pressure in the recovery there is</w:t>
      </w:r>
      <w:r w:rsidR="00002BEC" w:rsidRPr="001A1A2A">
        <w:rPr>
          <w:rFonts w:ascii="Calibri" w:eastAsia="Calibri" w:hAnsi="Calibri" w:cs="Arial"/>
          <w:sz w:val="16"/>
          <w:szCs w:val="16"/>
        </w:rPr>
        <w:t xml:space="preserve"> a</w:t>
      </w:r>
      <w:r w:rsidRPr="00757780">
        <w:rPr>
          <w:rFonts w:ascii="Calibri" w:eastAsia="Calibri" w:hAnsi="Calibri" w:cs="Arial"/>
          <w:sz w:val="16"/>
          <w:szCs w:val="16"/>
        </w:rPr>
        <w:t xml:space="preserve"> significant increase in the  mean blood pressure in the fentanyl group to the lidocaine  group with P value </w:t>
      </w:r>
      <w:r w:rsidRPr="00757780">
        <w:rPr>
          <w:rFonts w:ascii="Arial" w:eastAsia="Times New Roman" w:hAnsi="Arial" w:cs="Arial"/>
          <w:color w:val="000000"/>
          <w:sz w:val="16"/>
          <w:szCs w:val="16"/>
        </w:rPr>
        <w:t>&lt;0.001.</w:t>
      </w:r>
    </w:p>
    <w:p w14:paraId="6182C1EE" w14:textId="0170144D" w:rsidR="00CD6CBD" w:rsidRPr="00757780" w:rsidRDefault="00CD6CBD" w:rsidP="00FA3A96">
      <w:pPr>
        <w:rPr>
          <w:rFonts w:ascii="Calibri" w:eastAsia="Calibri" w:hAnsi="Calibri" w:cs="Arial"/>
          <w:sz w:val="16"/>
          <w:szCs w:val="16"/>
        </w:rPr>
      </w:pPr>
      <w:r w:rsidRPr="00757780">
        <w:rPr>
          <w:rFonts w:ascii="Calibri" w:eastAsia="Calibri" w:hAnsi="Calibri" w:cs="Arial"/>
          <w:b/>
          <w:bCs/>
          <w:sz w:val="16"/>
          <w:szCs w:val="16"/>
        </w:rPr>
        <w:t>Table (</w:t>
      </w:r>
      <w:r w:rsidR="00FA3A96" w:rsidRPr="001A1A2A">
        <w:rPr>
          <w:rFonts w:ascii="Calibri" w:eastAsia="Calibri" w:hAnsi="Calibri" w:cs="Arial"/>
          <w:b/>
          <w:bCs/>
          <w:sz w:val="16"/>
          <w:szCs w:val="16"/>
        </w:rPr>
        <w:t>9</w:t>
      </w:r>
      <w:r w:rsidRPr="00757780">
        <w:rPr>
          <w:rFonts w:ascii="Calibri" w:eastAsia="Calibri" w:hAnsi="Calibri" w:cs="Arial"/>
          <w:b/>
          <w:bCs/>
          <w:sz w:val="16"/>
          <w:szCs w:val="16"/>
        </w:rPr>
        <w:t xml:space="preserve">) </w:t>
      </w:r>
      <w:r w:rsidR="00BA1D72" w:rsidRPr="001A1A2A">
        <w:rPr>
          <w:rFonts w:ascii="Calibri" w:eastAsia="Calibri" w:hAnsi="Calibri" w:cs="Arial"/>
          <w:b/>
          <w:bCs/>
          <w:sz w:val="16"/>
          <w:szCs w:val="16"/>
        </w:rPr>
        <w:t xml:space="preserve">Intraoperative MAC of sevoflurane </w:t>
      </w:r>
    </w:p>
    <w:tbl>
      <w:tblPr>
        <w:tblW w:w="9239"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1"/>
        <w:gridCol w:w="3752"/>
        <w:gridCol w:w="1114"/>
        <w:gridCol w:w="1112"/>
        <w:gridCol w:w="1575"/>
        <w:gridCol w:w="1605"/>
      </w:tblGrid>
      <w:tr w:rsidR="00CD6CBD" w:rsidRPr="00757780" w14:paraId="025EAA0F" w14:textId="77777777" w:rsidTr="006D17CD">
        <w:trPr>
          <w:cantSplit/>
          <w:tblHeader/>
        </w:trPr>
        <w:tc>
          <w:tcPr>
            <w:tcW w:w="81" w:type="dxa"/>
            <w:vMerge w:val="restart"/>
            <w:tcBorders>
              <w:left w:val="single" w:sz="16" w:space="0" w:color="000000"/>
              <w:right w:val="nil"/>
            </w:tcBorders>
            <w:shd w:val="clear" w:color="auto" w:fill="FFFFFF"/>
            <w:tcMar>
              <w:top w:w="30" w:type="dxa"/>
              <w:left w:w="30" w:type="dxa"/>
              <w:bottom w:w="30" w:type="dxa"/>
              <w:right w:w="30" w:type="dxa"/>
            </w:tcMar>
          </w:tcPr>
          <w:p w14:paraId="7056BD65" w14:textId="440D3261" w:rsidR="00CD6CBD" w:rsidRPr="00757780" w:rsidRDefault="00CD6CBD" w:rsidP="001229D1">
            <w:pPr>
              <w:widowControl w:val="0"/>
              <w:autoSpaceDE w:val="0"/>
              <w:autoSpaceDN w:val="0"/>
              <w:adjustRightInd w:val="0"/>
              <w:spacing w:after="0" w:line="320" w:lineRule="atLeast"/>
              <w:rPr>
                <w:rFonts w:ascii="Arial" w:eastAsia="Times New Roman" w:hAnsi="Arial" w:cs="Arial"/>
                <w:color w:val="000000"/>
                <w:sz w:val="16"/>
                <w:szCs w:val="16"/>
              </w:rPr>
            </w:pPr>
          </w:p>
        </w:tc>
        <w:tc>
          <w:tcPr>
            <w:tcW w:w="3752" w:type="dxa"/>
            <w:tcBorders>
              <w:left w:val="nil"/>
              <w:bottom w:val="nil"/>
              <w:right w:val="single" w:sz="16" w:space="0" w:color="000000"/>
            </w:tcBorders>
            <w:shd w:val="clear" w:color="auto" w:fill="FFFFFF"/>
            <w:tcMar>
              <w:top w:w="30" w:type="dxa"/>
              <w:left w:w="30" w:type="dxa"/>
              <w:bottom w:w="30" w:type="dxa"/>
              <w:right w:w="30" w:type="dxa"/>
            </w:tcMar>
          </w:tcPr>
          <w:p w14:paraId="4AACC826" w14:textId="1F8F532E" w:rsidR="006D17CD" w:rsidRPr="00757780" w:rsidRDefault="00CD6CBD" w:rsidP="006D17CD">
            <w:pPr>
              <w:widowControl w:val="0"/>
              <w:autoSpaceDE w:val="0"/>
              <w:autoSpaceDN w:val="0"/>
              <w:adjustRightInd w:val="0"/>
              <w:spacing w:after="0" w:line="320" w:lineRule="atLeast"/>
              <w:rPr>
                <w:rFonts w:ascii="Arial" w:eastAsia="Times New Roman" w:hAnsi="Arial" w:cs="Arial"/>
                <w:color w:val="000000"/>
                <w:sz w:val="16"/>
                <w:szCs w:val="16"/>
              </w:rPr>
            </w:pPr>
            <w:r w:rsidRPr="00757780">
              <w:rPr>
                <w:rFonts w:ascii="Arial" w:eastAsia="Times New Roman" w:hAnsi="Arial" w:cs="Arial"/>
                <w:color w:val="000000"/>
                <w:sz w:val="16"/>
                <w:szCs w:val="16"/>
              </w:rPr>
              <w:t>Lidocaine</w:t>
            </w:r>
            <w:r w:rsidR="006D17CD" w:rsidRPr="001A1A2A">
              <w:rPr>
                <w:rFonts w:ascii="Arial" w:eastAsia="Times New Roman" w:hAnsi="Arial" w:cs="Arial"/>
                <w:color w:val="000000"/>
                <w:sz w:val="16"/>
                <w:szCs w:val="16"/>
              </w:rPr>
              <w:t xml:space="preserve"> group</w:t>
            </w:r>
          </w:p>
        </w:tc>
        <w:tc>
          <w:tcPr>
            <w:tcW w:w="1114" w:type="dxa"/>
            <w:tcBorders>
              <w:left w:val="single" w:sz="16" w:space="0" w:color="000000"/>
              <w:bottom w:val="nil"/>
            </w:tcBorders>
            <w:shd w:val="clear" w:color="auto" w:fill="FFFFFF"/>
            <w:tcMar>
              <w:top w:w="30" w:type="dxa"/>
              <w:left w:w="30" w:type="dxa"/>
              <w:bottom w:w="30" w:type="dxa"/>
              <w:right w:w="30" w:type="dxa"/>
            </w:tcMar>
            <w:vAlign w:val="center"/>
          </w:tcPr>
          <w:p w14:paraId="61872867" w14:textId="77777777" w:rsidR="00CD6CBD" w:rsidRPr="00757780" w:rsidRDefault="00CD6CBD" w:rsidP="001229D1">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25</w:t>
            </w:r>
          </w:p>
        </w:tc>
        <w:tc>
          <w:tcPr>
            <w:tcW w:w="1112" w:type="dxa"/>
            <w:tcBorders>
              <w:bottom w:val="nil"/>
            </w:tcBorders>
            <w:shd w:val="clear" w:color="auto" w:fill="FFFFFF"/>
            <w:tcMar>
              <w:top w:w="30" w:type="dxa"/>
              <w:left w:w="30" w:type="dxa"/>
              <w:bottom w:w="30" w:type="dxa"/>
              <w:right w:w="30" w:type="dxa"/>
            </w:tcMar>
            <w:vAlign w:val="center"/>
          </w:tcPr>
          <w:p w14:paraId="1925E604" w14:textId="77777777" w:rsidR="00CD6CBD" w:rsidRPr="00757780" w:rsidRDefault="00CD6CBD" w:rsidP="001229D1">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1.700</w:t>
            </w:r>
          </w:p>
        </w:tc>
        <w:tc>
          <w:tcPr>
            <w:tcW w:w="1575" w:type="dxa"/>
            <w:tcBorders>
              <w:bottom w:val="nil"/>
            </w:tcBorders>
            <w:shd w:val="clear" w:color="auto" w:fill="FFFFFF"/>
            <w:tcMar>
              <w:top w:w="30" w:type="dxa"/>
              <w:left w:w="30" w:type="dxa"/>
              <w:bottom w:w="30" w:type="dxa"/>
              <w:right w:w="30" w:type="dxa"/>
            </w:tcMar>
            <w:vAlign w:val="center"/>
          </w:tcPr>
          <w:p w14:paraId="5DF5DED3" w14:textId="77777777" w:rsidR="00CD6CBD" w:rsidRPr="00757780" w:rsidRDefault="00CD6CBD" w:rsidP="001229D1">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±0.2500</w:t>
            </w:r>
          </w:p>
        </w:tc>
        <w:tc>
          <w:tcPr>
            <w:tcW w:w="1605" w:type="dxa"/>
            <w:tcBorders>
              <w:bottom w:val="nil"/>
              <w:right w:val="single" w:sz="16" w:space="0" w:color="000000"/>
            </w:tcBorders>
            <w:shd w:val="clear" w:color="auto" w:fill="FFFFFF"/>
            <w:tcMar>
              <w:top w:w="30" w:type="dxa"/>
              <w:left w:w="30" w:type="dxa"/>
              <w:bottom w:w="30" w:type="dxa"/>
              <w:right w:w="30" w:type="dxa"/>
            </w:tcMar>
            <w:vAlign w:val="center"/>
          </w:tcPr>
          <w:p w14:paraId="3C722769" w14:textId="77777777" w:rsidR="00CD6CBD" w:rsidRPr="00757780" w:rsidRDefault="00CD6CBD" w:rsidP="001229D1">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&lt;0.001</w:t>
            </w:r>
          </w:p>
        </w:tc>
      </w:tr>
      <w:tr w:rsidR="00CD6CBD" w:rsidRPr="00757780" w14:paraId="0B58A10C" w14:textId="77777777" w:rsidTr="00D83908">
        <w:trPr>
          <w:cantSplit/>
          <w:trHeight w:val="166"/>
          <w:tblHeader/>
        </w:trPr>
        <w:tc>
          <w:tcPr>
            <w:tcW w:w="81" w:type="dxa"/>
            <w:vMerge/>
            <w:tcBorders>
              <w:left w:val="single" w:sz="16" w:space="0" w:color="000000"/>
              <w:right w:val="nil"/>
            </w:tcBorders>
            <w:shd w:val="clear" w:color="auto" w:fill="FFFFFF"/>
            <w:tcMar>
              <w:top w:w="30" w:type="dxa"/>
              <w:left w:w="30" w:type="dxa"/>
              <w:bottom w:w="30" w:type="dxa"/>
              <w:right w:w="30" w:type="dxa"/>
            </w:tcMar>
          </w:tcPr>
          <w:p w14:paraId="04AEBCCC" w14:textId="77777777" w:rsidR="00CD6CBD" w:rsidRPr="00757780" w:rsidRDefault="00CD6CBD" w:rsidP="001229D1">
            <w:pPr>
              <w:widowControl w:val="0"/>
              <w:autoSpaceDE w:val="0"/>
              <w:autoSpaceDN w:val="0"/>
              <w:adjustRightInd w:val="0"/>
              <w:spacing w:after="0" w:line="240" w:lineRule="auto"/>
              <w:rPr>
                <w:rFonts w:ascii="Arial" w:eastAsia="Times New Roman" w:hAnsi="Arial" w:cs="Arial"/>
                <w:color w:val="000000"/>
                <w:sz w:val="16"/>
                <w:szCs w:val="16"/>
              </w:rPr>
            </w:pPr>
          </w:p>
        </w:tc>
        <w:tc>
          <w:tcPr>
            <w:tcW w:w="3752" w:type="dxa"/>
            <w:tcBorders>
              <w:top w:val="nil"/>
              <w:left w:val="nil"/>
              <w:right w:val="single" w:sz="16" w:space="0" w:color="000000"/>
            </w:tcBorders>
            <w:shd w:val="clear" w:color="auto" w:fill="FFFFFF"/>
            <w:tcMar>
              <w:top w:w="30" w:type="dxa"/>
              <w:left w:w="30" w:type="dxa"/>
              <w:bottom w:w="30" w:type="dxa"/>
              <w:right w:w="30" w:type="dxa"/>
            </w:tcMar>
          </w:tcPr>
          <w:p w14:paraId="3E8D8C31" w14:textId="0E96A77B" w:rsidR="00CD6CBD" w:rsidRPr="00757780" w:rsidRDefault="00CD6CBD" w:rsidP="001229D1">
            <w:pPr>
              <w:widowControl w:val="0"/>
              <w:autoSpaceDE w:val="0"/>
              <w:autoSpaceDN w:val="0"/>
              <w:adjustRightInd w:val="0"/>
              <w:spacing w:after="0" w:line="320" w:lineRule="atLeast"/>
              <w:rPr>
                <w:rFonts w:ascii="Arial" w:eastAsia="Times New Roman" w:hAnsi="Arial" w:cs="Arial"/>
                <w:color w:val="000000"/>
                <w:sz w:val="16"/>
                <w:szCs w:val="16"/>
              </w:rPr>
            </w:pPr>
            <w:r w:rsidRPr="00757780">
              <w:rPr>
                <w:rFonts w:ascii="Arial" w:eastAsia="Times New Roman" w:hAnsi="Arial" w:cs="Arial"/>
                <w:color w:val="000000"/>
                <w:sz w:val="16"/>
                <w:szCs w:val="16"/>
              </w:rPr>
              <w:t>Fentanyl</w:t>
            </w:r>
            <w:r w:rsidR="006D17CD" w:rsidRPr="001A1A2A">
              <w:rPr>
                <w:rFonts w:ascii="Arial" w:eastAsia="Times New Roman" w:hAnsi="Arial" w:cs="Arial"/>
                <w:color w:val="000000"/>
                <w:sz w:val="16"/>
                <w:szCs w:val="16"/>
              </w:rPr>
              <w:t xml:space="preserve"> group</w:t>
            </w:r>
          </w:p>
        </w:tc>
        <w:tc>
          <w:tcPr>
            <w:tcW w:w="1114" w:type="dxa"/>
            <w:tcBorders>
              <w:top w:val="nil"/>
              <w:left w:val="single" w:sz="16" w:space="0" w:color="000000"/>
            </w:tcBorders>
            <w:shd w:val="clear" w:color="auto" w:fill="FFFFFF"/>
            <w:tcMar>
              <w:top w:w="30" w:type="dxa"/>
              <w:left w:w="30" w:type="dxa"/>
              <w:bottom w:w="30" w:type="dxa"/>
              <w:right w:w="30" w:type="dxa"/>
            </w:tcMar>
            <w:vAlign w:val="center"/>
          </w:tcPr>
          <w:p w14:paraId="57481978" w14:textId="77777777" w:rsidR="00CD6CBD" w:rsidRPr="00757780" w:rsidRDefault="00CD6CBD" w:rsidP="001229D1">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25</w:t>
            </w:r>
          </w:p>
        </w:tc>
        <w:tc>
          <w:tcPr>
            <w:tcW w:w="1112" w:type="dxa"/>
            <w:tcBorders>
              <w:top w:val="nil"/>
            </w:tcBorders>
            <w:shd w:val="clear" w:color="auto" w:fill="FFFFFF"/>
            <w:tcMar>
              <w:top w:w="30" w:type="dxa"/>
              <w:left w:w="30" w:type="dxa"/>
              <w:bottom w:w="30" w:type="dxa"/>
              <w:right w:w="30" w:type="dxa"/>
            </w:tcMar>
            <w:vAlign w:val="center"/>
          </w:tcPr>
          <w:p w14:paraId="0405EDCF" w14:textId="77777777" w:rsidR="00CD6CBD" w:rsidRPr="00757780" w:rsidRDefault="00CD6CBD" w:rsidP="001229D1">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2.640</w:t>
            </w:r>
          </w:p>
        </w:tc>
        <w:tc>
          <w:tcPr>
            <w:tcW w:w="1575" w:type="dxa"/>
            <w:tcBorders>
              <w:top w:val="nil"/>
            </w:tcBorders>
            <w:shd w:val="clear" w:color="auto" w:fill="FFFFFF"/>
            <w:tcMar>
              <w:top w:w="30" w:type="dxa"/>
              <w:left w:w="30" w:type="dxa"/>
              <w:bottom w:w="30" w:type="dxa"/>
              <w:right w:w="30" w:type="dxa"/>
            </w:tcMar>
            <w:vAlign w:val="center"/>
          </w:tcPr>
          <w:p w14:paraId="7280D02C" w14:textId="77777777" w:rsidR="00CD6CBD" w:rsidRPr="00757780" w:rsidRDefault="00CD6CBD" w:rsidP="001229D1">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±0.4899</w:t>
            </w:r>
          </w:p>
        </w:tc>
        <w:tc>
          <w:tcPr>
            <w:tcW w:w="1605" w:type="dxa"/>
            <w:tcBorders>
              <w:top w:val="nil"/>
              <w:right w:val="single" w:sz="16" w:space="0" w:color="000000"/>
            </w:tcBorders>
            <w:shd w:val="clear" w:color="auto" w:fill="FFFFFF"/>
            <w:tcMar>
              <w:top w:w="30" w:type="dxa"/>
              <w:left w:w="30" w:type="dxa"/>
              <w:bottom w:w="30" w:type="dxa"/>
              <w:right w:w="30" w:type="dxa"/>
            </w:tcMar>
            <w:vAlign w:val="center"/>
          </w:tcPr>
          <w:p w14:paraId="52BF2E1B" w14:textId="77777777" w:rsidR="00CD6CBD" w:rsidRPr="00757780" w:rsidRDefault="00CD6CBD" w:rsidP="001229D1">
            <w:pPr>
              <w:widowControl w:val="0"/>
              <w:autoSpaceDE w:val="0"/>
              <w:autoSpaceDN w:val="0"/>
              <w:adjustRightInd w:val="0"/>
              <w:spacing w:after="0" w:line="320" w:lineRule="atLeast"/>
              <w:jc w:val="right"/>
              <w:rPr>
                <w:rFonts w:ascii="Arial" w:eastAsia="Times New Roman" w:hAnsi="Arial" w:cs="Arial"/>
                <w:color w:val="000000"/>
                <w:sz w:val="16"/>
                <w:szCs w:val="16"/>
              </w:rPr>
            </w:pPr>
          </w:p>
        </w:tc>
      </w:tr>
    </w:tbl>
    <w:p w14:paraId="7F03109E" w14:textId="3D387022" w:rsidR="00D83908" w:rsidRPr="00D83908" w:rsidRDefault="00F27380" w:rsidP="00D83908">
      <w:pPr>
        <w:rPr>
          <w:rFonts w:ascii="Calibri" w:eastAsia="Calibri" w:hAnsi="Calibri" w:cs="Arial"/>
          <w:sz w:val="16"/>
          <w:szCs w:val="16"/>
        </w:rPr>
      </w:pPr>
      <w:r w:rsidRPr="001A1A2A">
        <w:rPr>
          <w:rFonts w:ascii="Calibri" w:eastAsia="Calibri" w:hAnsi="Calibri" w:cs="Arial"/>
          <w:sz w:val="16"/>
          <w:szCs w:val="16"/>
        </w:rPr>
        <w:t xml:space="preserve">There is significant changes between the two groups with increase consumption of sevoflurane in the fentanyl group. </w:t>
      </w:r>
      <w:r w:rsidRPr="00757780">
        <w:rPr>
          <w:rFonts w:ascii="Calibri" w:eastAsia="Calibri" w:hAnsi="Calibri" w:cs="Arial"/>
          <w:sz w:val="16"/>
          <w:szCs w:val="16"/>
        </w:rPr>
        <w:t xml:space="preserve">P value </w:t>
      </w:r>
      <w:r w:rsidRPr="00757780">
        <w:rPr>
          <w:rFonts w:ascii="Arial" w:eastAsia="Times New Roman" w:hAnsi="Arial" w:cs="Arial"/>
          <w:color w:val="000000"/>
          <w:sz w:val="16"/>
          <w:szCs w:val="16"/>
        </w:rPr>
        <w:t>&lt;0.001</w:t>
      </w:r>
      <w:r w:rsidR="00D83908">
        <w:rPr>
          <w:rFonts w:ascii="Arial" w:eastAsia="Times New Roman" w:hAnsi="Arial" w:cs="Arial"/>
          <w:color w:val="000000"/>
          <w:sz w:val="16"/>
          <w:szCs w:val="16"/>
        </w:rPr>
        <w:t>.</w:t>
      </w:r>
    </w:p>
    <w:p w14:paraId="5C59109C" w14:textId="7245E8DB" w:rsidR="00CD6CBD" w:rsidRPr="00757780" w:rsidRDefault="00CD6CBD" w:rsidP="00757780">
      <w:pPr>
        <w:rPr>
          <w:rFonts w:ascii="Calibri" w:eastAsia="Calibri" w:hAnsi="Calibri" w:cs="Arial"/>
          <w:b/>
          <w:bCs/>
          <w:sz w:val="16"/>
          <w:szCs w:val="16"/>
        </w:rPr>
      </w:pPr>
      <w:r w:rsidRPr="001A1A2A">
        <w:rPr>
          <w:rFonts w:ascii="Calibri" w:eastAsia="Calibri" w:hAnsi="Calibri" w:cs="Arial"/>
          <w:b/>
          <w:bCs/>
          <w:sz w:val="16"/>
          <w:szCs w:val="16"/>
        </w:rPr>
        <w:t>Table (</w:t>
      </w:r>
      <w:r w:rsidR="00FA3A96" w:rsidRPr="001A1A2A">
        <w:rPr>
          <w:rFonts w:ascii="Calibri" w:eastAsia="Calibri" w:hAnsi="Calibri" w:cs="Arial"/>
          <w:b/>
          <w:bCs/>
          <w:sz w:val="16"/>
          <w:szCs w:val="16"/>
        </w:rPr>
        <w:t>10</w:t>
      </w:r>
      <w:r w:rsidRPr="001A1A2A">
        <w:rPr>
          <w:rFonts w:ascii="Calibri" w:eastAsia="Calibri" w:hAnsi="Calibri" w:cs="Arial"/>
          <w:b/>
          <w:bCs/>
          <w:sz w:val="16"/>
          <w:szCs w:val="16"/>
        </w:rPr>
        <w:t>)</w:t>
      </w:r>
      <w:r w:rsidR="00BA1D72" w:rsidRPr="001A1A2A">
        <w:rPr>
          <w:rFonts w:ascii="Calibri" w:eastAsia="Calibri" w:hAnsi="Calibri" w:cs="Arial"/>
          <w:b/>
          <w:bCs/>
          <w:sz w:val="16"/>
          <w:szCs w:val="16"/>
        </w:rPr>
        <w:t xml:space="preserve"> Visual Analogue Score (VAS) in the recovery </w:t>
      </w:r>
    </w:p>
    <w:tbl>
      <w:tblPr>
        <w:tblW w:w="9239"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1"/>
        <w:gridCol w:w="3752"/>
        <w:gridCol w:w="1114"/>
        <w:gridCol w:w="1112"/>
        <w:gridCol w:w="1575"/>
        <w:gridCol w:w="1605"/>
      </w:tblGrid>
      <w:tr w:rsidR="00757780" w:rsidRPr="00757780" w14:paraId="7B57DE26" w14:textId="77777777" w:rsidTr="006D17CD">
        <w:trPr>
          <w:cantSplit/>
          <w:tblHeader/>
        </w:trPr>
        <w:tc>
          <w:tcPr>
            <w:tcW w:w="81" w:type="dxa"/>
            <w:vMerge w:val="restart"/>
            <w:tcBorders>
              <w:left w:val="single" w:sz="16" w:space="0" w:color="000000"/>
              <w:right w:val="nil"/>
            </w:tcBorders>
            <w:shd w:val="clear" w:color="auto" w:fill="FFFFFF"/>
            <w:tcMar>
              <w:top w:w="30" w:type="dxa"/>
              <w:left w:w="30" w:type="dxa"/>
              <w:bottom w:w="30" w:type="dxa"/>
              <w:right w:w="30" w:type="dxa"/>
            </w:tcMar>
          </w:tcPr>
          <w:p w14:paraId="612F5C8E" w14:textId="2199513D" w:rsidR="00757780" w:rsidRPr="00757780" w:rsidRDefault="00757780" w:rsidP="00757780">
            <w:pPr>
              <w:widowControl w:val="0"/>
              <w:autoSpaceDE w:val="0"/>
              <w:autoSpaceDN w:val="0"/>
              <w:adjustRightInd w:val="0"/>
              <w:spacing w:after="0" w:line="320" w:lineRule="atLeast"/>
              <w:rPr>
                <w:rFonts w:ascii="Arial" w:eastAsia="Times New Roman" w:hAnsi="Arial" w:cs="Arial"/>
                <w:color w:val="000000"/>
                <w:sz w:val="16"/>
                <w:szCs w:val="16"/>
              </w:rPr>
            </w:pPr>
          </w:p>
        </w:tc>
        <w:tc>
          <w:tcPr>
            <w:tcW w:w="3752" w:type="dxa"/>
            <w:tcBorders>
              <w:left w:val="nil"/>
              <w:bottom w:val="nil"/>
              <w:right w:val="single" w:sz="16" w:space="0" w:color="000000"/>
            </w:tcBorders>
            <w:shd w:val="clear" w:color="auto" w:fill="FFFFFF"/>
            <w:tcMar>
              <w:top w:w="30" w:type="dxa"/>
              <w:left w:w="30" w:type="dxa"/>
              <w:bottom w:w="30" w:type="dxa"/>
              <w:right w:w="30" w:type="dxa"/>
            </w:tcMar>
          </w:tcPr>
          <w:p w14:paraId="70FE9AC2" w14:textId="3CBC6758" w:rsidR="00757780" w:rsidRPr="00757780" w:rsidRDefault="00CD1B7F" w:rsidP="00757780">
            <w:pPr>
              <w:widowControl w:val="0"/>
              <w:autoSpaceDE w:val="0"/>
              <w:autoSpaceDN w:val="0"/>
              <w:adjustRightInd w:val="0"/>
              <w:spacing w:after="0" w:line="320" w:lineRule="atLeast"/>
              <w:rPr>
                <w:rFonts w:ascii="Arial" w:eastAsia="Times New Roman" w:hAnsi="Arial" w:cs="Arial"/>
                <w:color w:val="000000"/>
                <w:sz w:val="16"/>
                <w:szCs w:val="16"/>
              </w:rPr>
            </w:pPr>
            <w:r w:rsidRPr="001A1A2A">
              <w:rPr>
                <w:rFonts w:ascii="Arial" w:eastAsia="Times New Roman" w:hAnsi="Arial" w:cs="Arial"/>
                <w:color w:val="000000"/>
                <w:sz w:val="16"/>
                <w:szCs w:val="16"/>
              </w:rPr>
              <w:t>L</w:t>
            </w:r>
            <w:r w:rsidR="00757780" w:rsidRPr="00757780">
              <w:rPr>
                <w:rFonts w:ascii="Arial" w:eastAsia="Times New Roman" w:hAnsi="Arial" w:cs="Arial"/>
                <w:color w:val="000000"/>
                <w:sz w:val="16"/>
                <w:szCs w:val="16"/>
              </w:rPr>
              <w:t>idocaine</w:t>
            </w:r>
            <w:r w:rsidR="00E363E6" w:rsidRPr="001A1A2A">
              <w:rPr>
                <w:rFonts w:ascii="Arial" w:eastAsia="Times New Roman" w:hAnsi="Arial" w:cs="Arial"/>
                <w:color w:val="000000"/>
                <w:sz w:val="16"/>
                <w:szCs w:val="16"/>
              </w:rPr>
              <w:t xml:space="preserve"> group</w:t>
            </w:r>
          </w:p>
        </w:tc>
        <w:tc>
          <w:tcPr>
            <w:tcW w:w="1114" w:type="dxa"/>
            <w:tcBorders>
              <w:left w:val="single" w:sz="16" w:space="0" w:color="000000"/>
              <w:bottom w:val="nil"/>
            </w:tcBorders>
            <w:shd w:val="clear" w:color="auto" w:fill="FFFFFF"/>
            <w:tcMar>
              <w:top w:w="30" w:type="dxa"/>
              <w:left w:w="30" w:type="dxa"/>
              <w:bottom w:w="30" w:type="dxa"/>
              <w:right w:w="30" w:type="dxa"/>
            </w:tcMar>
            <w:vAlign w:val="center"/>
          </w:tcPr>
          <w:p w14:paraId="7284093F"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25</w:t>
            </w:r>
          </w:p>
        </w:tc>
        <w:tc>
          <w:tcPr>
            <w:tcW w:w="1112" w:type="dxa"/>
            <w:tcBorders>
              <w:bottom w:val="nil"/>
            </w:tcBorders>
            <w:shd w:val="clear" w:color="auto" w:fill="FFFFFF"/>
            <w:tcMar>
              <w:top w:w="30" w:type="dxa"/>
              <w:left w:w="30" w:type="dxa"/>
              <w:bottom w:w="30" w:type="dxa"/>
              <w:right w:w="30" w:type="dxa"/>
            </w:tcMar>
            <w:vAlign w:val="center"/>
          </w:tcPr>
          <w:p w14:paraId="4E63B0FE"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2.64</w:t>
            </w:r>
          </w:p>
        </w:tc>
        <w:tc>
          <w:tcPr>
            <w:tcW w:w="1575" w:type="dxa"/>
            <w:tcBorders>
              <w:bottom w:val="nil"/>
            </w:tcBorders>
            <w:shd w:val="clear" w:color="auto" w:fill="FFFFFF"/>
            <w:tcMar>
              <w:top w:w="30" w:type="dxa"/>
              <w:left w:w="30" w:type="dxa"/>
              <w:bottom w:w="30" w:type="dxa"/>
              <w:right w:w="30" w:type="dxa"/>
            </w:tcMar>
            <w:vAlign w:val="center"/>
          </w:tcPr>
          <w:p w14:paraId="6189EAE5"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±2.481</w:t>
            </w:r>
          </w:p>
        </w:tc>
        <w:tc>
          <w:tcPr>
            <w:tcW w:w="1605" w:type="dxa"/>
            <w:tcBorders>
              <w:bottom w:val="nil"/>
              <w:right w:val="single" w:sz="16" w:space="0" w:color="000000"/>
            </w:tcBorders>
            <w:shd w:val="clear" w:color="auto" w:fill="FFFFFF"/>
            <w:tcMar>
              <w:top w:w="30" w:type="dxa"/>
              <w:left w:w="30" w:type="dxa"/>
              <w:bottom w:w="30" w:type="dxa"/>
              <w:right w:w="30" w:type="dxa"/>
            </w:tcMar>
            <w:vAlign w:val="center"/>
          </w:tcPr>
          <w:p w14:paraId="03053F3E"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&lt;0.001</w:t>
            </w:r>
          </w:p>
        </w:tc>
      </w:tr>
      <w:tr w:rsidR="00757780" w:rsidRPr="00757780" w14:paraId="13ED2DC1" w14:textId="77777777" w:rsidTr="00D83908">
        <w:trPr>
          <w:cantSplit/>
          <w:trHeight w:val="202"/>
          <w:tblHeader/>
        </w:trPr>
        <w:tc>
          <w:tcPr>
            <w:tcW w:w="81" w:type="dxa"/>
            <w:vMerge/>
            <w:tcBorders>
              <w:left w:val="single" w:sz="16" w:space="0" w:color="000000"/>
              <w:right w:val="nil"/>
            </w:tcBorders>
            <w:shd w:val="clear" w:color="auto" w:fill="FFFFFF"/>
            <w:tcMar>
              <w:top w:w="30" w:type="dxa"/>
              <w:left w:w="30" w:type="dxa"/>
              <w:bottom w:w="30" w:type="dxa"/>
              <w:right w:w="30" w:type="dxa"/>
            </w:tcMar>
          </w:tcPr>
          <w:p w14:paraId="74F25396" w14:textId="77777777" w:rsidR="00757780" w:rsidRPr="00757780" w:rsidRDefault="00757780" w:rsidP="00757780">
            <w:pPr>
              <w:widowControl w:val="0"/>
              <w:autoSpaceDE w:val="0"/>
              <w:autoSpaceDN w:val="0"/>
              <w:adjustRightInd w:val="0"/>
              <w:spacing w:after="0" w:line="240" w:lineRule="auto"/>
              <w:rPr>
                <w:rFonts w:ascii="Arial" w:eastAsia="Times New Roman" w:hAnsi="Arial" w:cs="Arial"/>
                <w:color w:val="000000"/>
                <w:sz w:val="16"/>
                <w:szCs w:val="16"/>
              </w:rPr>
            </w:pPr>
          </w:p>
        </w:tc>
        <w:tc>
          <w:tcPr>
            <w:tcW w:w="3752" w:type="dxa"/>
            <w:tcBorders>
              <w:top w:val="nil"/>
              <w:left w:val="nil"/>
              <w:right w:val="single" w:sz="16" w:space="0" w:color="000000"/>
            </w:tcBorders>
            <w:shd w:val="clear" w:color="auto" w:fill="FFFFFF"/>
            <w:tcMar>
              <w:top w:w="30" w:type="dxa"/>
              <w:left w:w="30" w:type="dxa"/>
              <w:bottom w:w="30" w:type="dxa"/>
              <w:right w:w="30" w:type="dxa"/>
            </w:tcMar>
          </w:tcPr>
          <w:p w14:paraId="0F7D951C" w14:textId="79DFEB59" w:rsidR="00CD1B7F" w:rsidRPr="00757780" w:rsidRDefault="00CD1B7F" w:rsidP="00757780">
            <w:pPr>
              <w:widowControl w:val="0"/>
              <w:autoSpaceDE w:val="0"/>
              <w:autoSpaceDN w:val="0"/>
              <w:adjustRightInd w:val="0"/>
              <w:spacing w:after="0" w:line="320" w:lineRule="atLeast"/>
              <w:rPr>
                <w:rFonts w:ascii="Arial" w:eastAsia="Times New Roman" w:hAnsi="Arial" w:cs="Arial"/>
                <w:color w:val="000000"/>
                <w:sz w:val="16"/>
                <w:szCs w:val="16"/>
              </w:rPr>
            </w:pPr>
            <w:r w:rsidRPr="00757780">
              <w:rPr>
                <w:rFonts w:ascii="Arial" w:eastAsia="Times New Roman" w:hAnsi="Arial" w:cs="Arial"/>
                <w:color w:val="000000"/>
                <w:sz w:val="16"/>
                <w:szCs w:val="16"/>
              </w:rPr>
              <w:t>Fentanyl</w:t>
            </w:r>
            <w:r w:rsidRPr="001A1A2A">
              <w:rPr>
                <w:rFonts w:ascii="Arial" w:eastAsia="Times New Roman" w:hAnsi="Arial" w:cs="Arial"/>
                <w:color w:val="000000"/>
                <w:sz w:val="16"/>
                <w:szCs w:val="16"/>
              </w:rPr>
              <w:t xml:space="preserve"> group</w:t>
            </w:r>
          </w:p>
        </w:tc>
        <w:tc>
          <w:tcPr>
            <w:tcW w:w="1114" w:type="dxa"/>
            <w:tcBorders>
              <w:top w:val="nil"/>
              <w:left w:val="single" w:sz="16" w:space="0" w:color="000000"/>
            </w:tcBorders>
            <w:shd w:val="clear" w:color="auto" w:fill="FFFFFF"/>
            <w:tcMar>
              <w:top w:w="30" w:type="dxa"/>
              <w:left w:w="30" w:type="dxa"/>
              <w:bottom w:w="30" w:type="dxa"/>
              <w:right w:w="30" w:type="dxa"/>
            </w:tcMar>
            <w:vAlign w:val="center"/>
          </w:tcPr>
          <w:p w14:paraId="5FCE1123"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25</w:t>
            </w:r>
          </w:p>
        </w:tc>
        <w:tc>
          <w:tcPr>
            <w:tcW w:w="1112" w:type="dxa"/>
            <w:tcBorders>
              <w:top w:val="nil"/>
            </w:tcBorders>
            <w:shd w:val="clear" w:color="auto" w:fill="FFFFFF"/>
            <w:tcMar>
              <w:top w:w="30" w:type="dxa"/>
              <w:left w:w="30" w:type="dxa"/>
              <w:bottom w:w="30" w:type="dxa"/>
              <w:right w:w="30" w:type="dxa"/>
            </w:tcMar>
            <w:vAlign w:val="center"/>
          </w:tcPr>
          <w:p w14:paraId="7F744DDE"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6.68</w:t>
            </w:r>
          </w:p>
        </w:tc>
        <w:tc>
          <w:tcPr>
            <w:tcW w:w="1575" w:type="dxa"/>
            <w:tcBorders>
              <w:top w:val="nil"/>
            </w:tcBorders>
            <w:shd w:val="clear" w:color="auto" w:fill="FFFFFF"/>
            <w:tcMar>
              <w:top w:w="30" w:type="dxa"/>
              <w:left w:w="30" w:type="dxa"/>
              <w:bottom w:w="30" w:type="dxa"/>
              <w:right w:w="30" w:type="dxa"/>
            </w:tcMar>
            <w:vAlign w:val="center"/>
          </w:tcPr>
          <w:p w14:paraId="2BDC3BE7"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±1.345</w:t>
            </w:r>
          </w:p>
        </w:tc>
        <w:tc>
          <w:tcPr>
            <w:tcW w:w="1605" w:type="dxa"/>
            <w:tcBorders>
              <w:top w:val="nil"/>
              <w:right w:val="single" w:sz="16" w:space="0" w:color="000000"/>
            </w:tcBorders>
            <w:shd w:val="clear" w:color="auto" w:fill="FFFFFF"/>
            <w:tcMar>
              <w:top w:w="30" w:type="dxa"/>
              <w:left w:w="30" w:type="dxa"/>
              <w:bottom w:w="30" w:type="dxa"/>
              <w:right w:w="30" w:type="dxa"/>
            </w:tcMar>
            <w:vAlign w:val="center"/>
          </w:tcPr>
          <w:p w14:paraId="3AF2E94E"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p>
        </w:tc>
      </w:tr>
    </w:tbl>
    <w:p w14:paraId="4D0FBCCC" w14:textId="77777777" w:rsidR="001A1A2A" w:rsidRDefault="00757780" w:rsidP="001A1A2A">
      <w:pPr>
        <w:rPr>
          <w:rFonts w:ascii="Calibri" w:eastAsia="Calibri" w:hAnsi="Calibri" w:cs="Arial"/>
          <w:sz w:val="16"/>
          <w:szCs w:val="16"/>
        </w:rPr>
      </w:pPr>
      <w:r w:rsidRPr="00757780">
        <w:rPr>
          <w:rFonts w:ascii="Calibri" w:eastAsia="Calibri" w:hAnsi="Calibri" w:cs="Arial"/>
          <w:sz w:val="16"/>
          <w:szCs w:val="16"/>
        </w:rPr>
        <w:t>There is</w:t>
      </w:r>
      <w:r w:rsidR="00E363E6" w:rsidRPr="001A1A2A">
        <w:rPr>
          <w:rFonts w:ascii="Calibri" w:eastAsia="Calibri" w:hAnsi="Calibri" w:cs="Arial"/>
          <w:sz w:val="16"/>
          <w:szCs w:val="16"/>
        </w:rPr>
        <w:t xml:space="preserve"> an</w:t>
      </w:r>
      <w:r w:rsidRPr="00757780">
        <w:rPr>
          <w:rFonts w:ascii="Calibri" w:eastAsia="Calibri" w:hAnsi="Calibri" w:cs="Arial"/>
          <w:sz w:val="16"/>
          <w:szCs w:val="16"/>
        </w:rPr>
        <w:t xml:space="preserve"> increase in the visual analogue score in fentanyl group to the lidocaine group showing significant difference with P value </w:t>
      </w:r>
      <w:r w:rsidRPr="00757780">
        <w:rPr>
          <w:rFonts w:ascii="Arial" w:eastAsia="Times New Roman" w:hAnsi="Arial" w:cs="Arial"/>
          <w:color w:val="000000"/>
          <w:sz w:val="16"/>
          <w:szCs w:val="16"/>
        </w:rPr>
        <w:t>&lt;0.001.</w:t>
      </w:r>
    </w:p>
    <w:p w14:paraId="0D3C7B66" w14:textId="44495A08" w:rsidR="00757780" w:rsidRPr="00757780" w:rsidRDefault="00757780" w:rsidP="001A1A2A">
      <w:pPr>
        <w:rPr>
          <w:rFonts w:ascii="Calibri" w:eastAsia="Calibri" w:hAnsi="Calibri" w:cs="Arial"/>
          <w:sz w:val="16"/>
          <w:szCs w:val="16"/>
        </w:rPr>
      </w:pPr>
      <w:r w:rsidRPr="00757780">
        <w:rPr>
          <w:rFonts w:ascii="Calibri" w:eastAsia="Calibri" w:hAnsi="Calibri" w:cs="Arial"/>
          <w:b/>
          <w:bCs/>
          <w:sz w:val="16"/>
          <w:szCs w:val="16"/>
        </w:rPr>
        <w:t>Table (</w:t>
      </w:r>
      <w:r w:rsidR="00FA3A96" w:rsidRPr="001A1A2A">
        <w:rPr>
          <w:rFonts w:ascii="Calibri" w:eastAsia="Calibri" w:hAnsi="Calibri" w:cs="Arial"/>
          <w:b/>
          <w:bCs/>
          <w:sz w:val="16"/>
          <w:szCs w:val="16"/>
        </w:rPr>
        <w:t>11</w:t>
      </w:r>
      <w:r w:rsidRPr="00757780">
        <w:rPr>
          <w:rFonts w:ascii="Calibri" w:eastAsia="Calibri" w:hAnsi="Calibri" w:cs="Arial"/>
          <w:b/>
          <w:bCs/>
          <w:sz w:val="16"/>
          <w:szCs w:val="16"/>
        </w:rPr>
        <w:t xml:space="preserve">) </w:t>
      </w:r>
      <w:r w:rsidR="00E363E6" w:rsidRPr="001A1A2A">
        <w:rPr>
          <w:rFonts w:ascii="Calibri" w:eastAsia="Calibri" w:hAnsi="Calibri" w:cs="Arial"/>
          <w:b/>
          <w:bCs/>
          <w:sz w:val="16"/>
          <w:szCs w:val="16"/>
        </w:rPr>
        <w:t xml:space="preserve">Consumption of opioid (fentanyl) in the recovery </w:t>
      </w:r>
    </w:p>
    <w:tbl>
      <w:tblPr>
        <w:tblW w:w="9259"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0"/>
        <w:gridCol w:w="3960"/>
        <w:gridCol w:w="917"/>
        <w:gridCol w:w="1112"/>
        <w:gridCol w:w="1575"/>
        <w:gridCol w:w="1605"/>
      </w:tblGrid>
      <w:tr w:rsidR="00757780" w:rsidRPr="00757780" w14:paraId="70622517" w14:textId="77777777" w:rsidTr="00F27380">
        <w:trPr>
          <w:cantSplit/>
          <w:tblHeader/>
        </w:trPr>
        <w:tc>
          <w:tcPr>
            <w:tcW w:w="90" w:type="dxa"/>
            <w:vMerge w:val="restart"/>
            <w:tcBorders>
              <w:left w:val="single" w:sz="16" w:space="0" w:color="000000"/>
              <w:right w:val="nil"/>
            </w:tcBorders>
            <w:shd w:val="clear" w:color="auto" w:fill="FFFFFF"/>
            <w:tcMar>
              <w:top w:w="30" w:type="dxa"/>
              <w:left w:w="30" w:type="dxa"/>
              <w:bottom w:w="30" w:type="dxa"/>
              <w:right w:w="30" w:type="dxa"/>
            </w:tcMar>
          </w:tcPr>
          <w:p w14:paraId="6456AD67" w14:textId="36E15728" w:rsidR="00757780" w:rsidRPr="00757780" w:rsidRDefault="00757780" w:rsidP="00757780">
            <w:pPr>
              <w:widowControl w:val="0"/>
              <w:autoSpaceDE w:val="0"/>
              <w:autoSpaceDN w:val="0"/>
              <w:adjustRightInd w:val="0"/>
              <w:spacing w:after="0" w:line="320" w:lineRule="atLeast"/>
              <w:rPr>
                <w:rFonts w:ascii="Arial" w:eastAsia="Times New Roman" w:hAnsi="Arial" w:cs="Arial"/>
                <w:color w:val="000000"/>
                <w:sz w:val="16"/>
                <w:szCs w:val="16"/>
              </w:rPr>
            </w:pPr>
          </w:p>
        </w:tc>
        <w:tc>
          <w:tcPr>
            <w:tcW w:w="3960" w:type="dxa"/>
            <w:tcBorders>
              <w:left w:val="nil"/>
              <w:bottom w:val="nil"/>
              <w:right w:val="single" w:sz="16" w:space="0" w:color="000000"/>
            </w:tcBorders>
            <w:shd w:val="clear" w:color="auto" w:fill="FFFFFF"/>
            <w:tcMar>
              <w:top w:w="30" w:type="dxa"/>
              <w:left w:w="30" w:type="dxa"/>
              <w:bottom w:w="30" w:type="dxa"/>
              <w:right w:w="30" w:type="dxa"/>
            </w:tcMar>
          </w:tcPr>
          <w:p w14:paraId="6C472ED8" w14:textId="2F29066B" w:rsidR="00757780" w:rsidRPr="00757780" w:rsidRDefault="00757780" w:rsidP="00757780">
            <w:pPr>
              <w:widowControl w:val="0"/>
              <w:autoSpaceDE w:val="0"/>
              <w:autoSpaceDN w:val="0"/>
              <w:adjustRightInd w:val="0"/>
              <w:spacing w:after="0" w:line="320" w:lineRule="atLeast"/>
              <w:rPr>
                <w:rFonts w:ascii="Arial" w:eastAsia="Times New Roman" w:hAnsi="Arial" w:cs="Arial"/>
                <w:color w:val="000000"/>
                <w:sz w:val="16"/>
                <w:szCs w:val="16"/>
              </w:rPr>
            </w:pPr>
            <w:r w:rsidRPr="00757780">
              <w:rPr>
                <w:rFonts w:ascii="Arial" w:eastAsia="Times New Roman" w:hAnsi="Arial" w:cs="Arial"/>
                <w:color w:val="000000"/>
                <w:sz w:val="16"/>
                <w:szCs w:val="16"/>
              </w:rPr>
              <w:t>Lidocaine</w:t>
            </w:r>
            <w:r w:rsidR="00E363E6" w:rsidRPr="001A1A2A">
              <w:rPr>
                <w:rFonts w:ascii="Arial" w:eastAsia="Times New Roman" w:hAnsi="Arial" w:cs="Arial"/>
                <w:color w:val="000000"/>
                <w:sz w:val="16"/>
                <w:szCs w:val="16"/>
              </w:rPr>
              <w:t xml:space="preserve"> group</w:t>
            </w:r>
          </w:p>
        </w:tc>
        <w:tc>
          <w:tcPr>
            <w:tcW w:w="917" w:type="dxa"/>
            <w:tcBorders>
              <w:left w:val="single" w:sz="16" w:space="0" w:color="000000"/>
              <w:bottom w:val="nil"/>
            </w:tcBorders>
            <w:shd w:val="clear" w:color="auto" w:fill="FFFFFF"/>
            <w:tcMar>
              <w:top w:w="30" w:type="dxa"/>
              <w:left w:w="30" w:type="dxa"/>
              <w:bottom w:w="30" w:type="dxa"/>
              <w:right w:w="30" w:type="dxa"/>
            </w:tcMar>
            <w:vAlign w:val="center"/>
          </w:tcPr>
          <w:p w14:paraId="01DCF9ED"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hint="cs"/>
                <w:color w:val="000000"/>
                <w:sz w:val="16"/>
                <w:szCs w:val="16"/>
                <w:rtl/>
              </w:rPr>
              <w:t>25</w:t>
            </w:r>
          </w:p>
        </w:tc>
        <w:tc>
          <w:tcPr>
            <w:tcW w:w="1112" w:type="dxa"/>
            <w:tcBorders>
              <w:bottom w:val="nil"/>
            </w:tcBorders>
            <w:shd w:val="clear" w:color="auto" w:fill="FFFFFF"/>
            <w:tcMar>
              <w:top w:w="30" w:type="dxa"/>
              <w:left w:w="30" w:type="dxa"/>
              <w:bottom w:w="30" w:type="dxa"/>
              <w:right w:w="30" w:type="dxa"/>
            </w:tcMar>
            <w:vAlign w:val="center"/>
          </w:tcPr>
          <w:p w14:paraId="156CAA7A"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hint="cs"/>
                <w:color w:val="000000"/>
                <w:sz w:val="16"/>
                <w:szCs w:val="16"/>
                <w:rtl/>
              </w:rPr>
              <w:t>26</w:t>
            </w:r>
            <w:r w:rsidRPr="00757780">
              <w:rPr>
                <w:rFonts w:ascii="Arial" w:eastAsia="Times New Roman" w:hAnsi="Arial" w:cs="Arial"/>
                <w:color w:val="000000"/>
                <w:sz w:val="16"/>
                <w:szCs w:val="16"/>
              </w:rPr>
              <w:t>.00</w:t>
            </w:r>
          </w:p>
        </w:tc>
        <w:tc>
          <w:tcPr>
            <w:tcW w:w="1575" w:type="dxa"/>
            <w:tcBorders>
              <w:bottom w:val="nil"/>
            </w:tcBorders>
            <w:shd w:val="clear" w:color="auto" w:fill="FFFFFF"/>
            <w:tcMar>
              <w:top w:w="30" w:type="dxa"/>
              <w:left w:w="30" w:type="dxa"/>
              <w:bottom w:w="30" w:type="dxa"/>
              <w:right w:w="30" w:type="dxa"/>
            </w:tcMar>
            <w:vAlign w:val="center"/>
          </w:tcPr>
          <w:p w14:paraId="04D4D8B4"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±43.87</w:t>
            </w:r>
          </w:p>
        </w:tc>
        <w:tc>
          <w:tcPr>
            <w:tcW w:w="1605" w:type="dxa"/>
            <w:tcBorders>
              <w:bottom w:val="nil"/>
              <w:right w:val="single" w:sz="16" w:space="0" w:color="000000"/>
            </w:tcBorders>
            <w:shd w:val="clear" w:color="auto" w:fill="FFFFFF"/>
            <w:tcMar>
              <w:top w:w="30" w:type="dxa"/>
              <w:left w:w="30" w:type="dxa"/>
              <w:bottom w:w="30" w:type="dxa"/>
              <w:right w:w="30" w:type="dxa"/>
            </w:tcMar>
            <w:vAlign w:val="center"/>
          </w:tcPr>
          <w:p w14:paraId="748A155A"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&lt;0.001</w:t>
            </w:r>
          </w:p>
        </w:tc>
      </w:tr>
      <w:tr w:rsidR="00757780" w:rsidRPr="00757780" w14:paraId="04CE9DE3" w14:textId="77777777" w:rsidTr="00D83908">
        <w:trPr>
          <w:cantSplit/>
          <w:trHeight w:val="238"/>
          <w:tblHeader/>
        </w:trPr>
        <w:tc>
          <w:tcPr>
            <w:tcW w:w="90" w:type="dxa"/>
            <w:vMerge/>
            <w:tcBorders>
              <w:left w:val="single" w:sz="16" w:space="0" w:color="000000"/>
              <w:right w:val="nil"/>
            </w:tcBorders>
            <w:shd w:val="clear" w:color="auto" w:fill="FFFFFF"/>
            <w:tcMar>
              <w:top w:w="30" w:type="dxa"/>
              <w:left w:w="30" w:type="dxa"/>
              <w:bottom w:w="30" w:type="dxa"/>
              <w:right w:w="30" w:type="dxa"/>
            </w:tcMar>
          </w:tcPr>
          <w:p w14:paraId="0035C5E4" w14:textId="77777777" w:rsidR="00757780" w:rsidRPr="00757780" w:rsidRDefault="00757780" w:rsidP="00757780">
            <w:pPr>
              <w:widowControl w:val="0"/>
              <w:autoSpaceDE w:val="0"/>
              <w:autoSpaceDN w:val="0"/>
              <w:adjustRightInd w:val="0"/>
              <w:spacing w:after="0" w:line="240" w:lineRule="auto"/>
              <w:rPr>
                <w:rFonts w:ascii="Arial" w:eastAsia="Times New Roman" w:hAnsi="Arial" w:cs="Arial"/>
                <w:color w:val="000000"/>
                <w:sz w:val="16"/>
                <w:szCs w:val="16"/>
              </w:rPr>
            </w:pPr>
          </w:p>
        </w:tc>
        <w:tc>
          <w:tcPr>
            <w:tcW w:w="3960" w:type="dxa"/>
            <w:tcBorders>
              <w:top w:val="nil"/>
              <w:left w:val="nil"/>
              <w:right w:val="single" w:sz="16" w:space="0" w:color="000000"/>
            </w:tcBorders>
            <w:shd w:val="clear" w:color="auto" w:fill="FFFFFF"/>
            <w:tcMar>
              <w:top w:w="30" w:type="dxa"/>
              <w:left w:w="30" w:type="dxa"/>
              <w:bottom w:w="30" w:type="dxa"/>
              <w:right w:w="30" w:type="dxa"/>
            </w:tcMar>
          </w:tcPr>
          <w:p w14:paraId="29F569E9" w14:textId="799335FA" w:rsidR="00CD1B7F" w:rsidRPr="00757780" w:rsidRDefault="00CD1B7F" w:rsidP="00757780">
            <w:pPr>
              <w:widowControl w:val="0"/>
              <w:autoSpaceDE w:val="0"/>
              <w:autoSpaceDN w:val="0"/>
              <w:adjustRightInd w:val="0"/>
              <w:spacing w:after="0" w:line="320" w:lineRule="atLeast"/>
              <w:rPr>
                <w:rFonts w:ascii="Arial" w:eastAsia="Times New Roman" w:hAnsi="Arial" w:cs="Arial"/>
                <w:color w:val="000000"/>
                <w:sz w:val="16"/>
                <w:szCs w:val="16"/>
              </w:rPr>
            </w:pPr>
            <w:r w:rsidRPr="001A1A2A">
              <w:rPr>
                <w:rFonts w:ascii="Arial" w:eastAsia="Times New Roman" w:hAnsi="Arial" w:cs="Arial"/>
                <w:color w:val="000000"/>
                <w:sz w:val="16"/>
                <w:szCs w:val="16"/>
              </w:rPr>
              <w:t>Fentanyl group</w:t>
            </w:r>
          </w:p>
        </w:tc>
        <w:tc>
          <w:tcPr>
            <w:tcW w:w="917" w:type="dxa"/>
            <w:tcBorders>
              <w:top w:val="nil"/>
              <w:left w:val="single" w:sz="16" w:space="0" w:color="000000"/>
            </w:tcBorders>
            <w:shd w:val="clear" w:color="auto" w:fill="FFFFFF"/>
            <w:tcMar>
              <w:top w:w="30" w:type="dxa"/>
              <w:left w:w="30" w:type="dxa"/>
              <w:bottom w:w="30" w:type="dxa"/>
              <w:right w:w="30" w:type="dxa"/>
            </w:tcMar>
            <w:vAlign w:val="center"/>
          </w:tcPr>
          <w:p w14:paraId="46ECDE52"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2</w:t>
            </w:r>
            <w:r w:rsidRPr="00757780">
              <w:rPr>
                <w:rFonts w:ascii="Arial" w:eastAsia="Times New Roman" w:hAnsi="Arial" w:cs="Arial" w:hint="cs"/>
                <w:color w:val="000000"/>
                <w:sz w:val="16"/>
                <w:szCs w:val="16"/>
                <w:rtl/>
              </w:rPr>
              <w:t>5</w:t>
            </w:r>
          </w:p>
        </w:tc>
        <w:tc>
          <w:tcPr>
            <w:tcW w:w="1112" w:type="dxa"/>
            <w:tcBorders>
              <w:top w:val="nil"/>
            </w:tcBorders>
            <w:shd w:val="clear" w:color="auto" w:fill="FFFFFF"/>
            <w:tcMar>
              <w:top w:w="30" w:type="dxa"/>
              <w:left w:w="30" w:type="dxa"/>
              <w:bottom w:w="30" w:type="dxa"/>
              <w:right w:w="30" w:type="dxa"/>
            </w:tcMar>
            <w:vAlign w:val="center"/>
          </w:tcPr>
          <w:p w14:paraId="0819CD61"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116.96</w:t>
            </w:r>
          </w:p>
        </w:tc>
        <w:tc>
          <w:tcPr>
            <w:tcW w:w="1575" w:type="dxa"/>
            <w:tcBorders>
              <w:top w:val="nil"/>
            </w:tcBorders>
            <w:shd w:val="clear" w:color="auto" w:fill="FFFFFF"/>
            <w:tcMar>
              <w:top w:w="30" w:type="dxa"/>
              <w:left w:w="30" w:type="dxa"/>
              <w:bottom w:w="30" w:type="dxa"/>
              <w:right w:w="30" w:type="dxa"/>
            </w:tcMar>
            <w:vAlign w:val="center"/>
          </w:tcPr>
          <w:p w14:paraId="60E8B0B1"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±37.92</w:t>
            </w:r>
          </w:p>
        </w:tc>
        <w:tc>
          <w:tcPr>
            <w:tcW w:w="1605" w:type="dxa"/>
            <w:tcBorders>
              <w:top w:val="nil"/>
              <w:right w:val="single" w:sz="16" w:space="0" w:color="000000"/>
            </w:tcBorders>
            <w:shd w:val="clear" w:color="auto" w:fill="FFFFFF"/>
            <w:tcMar>
              <w:top w:w="30" w:type="dxa"/>
              <w:left w:w="30" w:type="dxa"/>
              <w:bottom w:w="30" w:type="dxa"/>
              <w:right w:w="30" w:type="dxa"/>
            </w:tcMar>
            <w:vAlign w:val="center"/>
          </w:tcPr>
          <w:p w14:paraId="59CF67D1"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p>
        </w:tc>
      </w:tr>
    </w:tbl>
    <w:p w14:paraId="3148FC41" w14:textId="6DEFE005" w:rsidR="0078529F" w:rsidRPr="001A1A2A" w:rsidRDefault="00F27380" w:rsidP="00FA3A96">
      <w:pPr>
        <w:rPr>
          <w:rFonts w:ascii="Calibri" w:eastAsia="Calibri" w:hAnsi="Calibri" w:cs="Arial"/>
          <w:sz w:val="16"/>
          <w:szCs w:val="16"/>
        </w:rPr>
      </w:pPr>
      <w:r w:rsidRPr="001A1A2A">
        <w:rPr>
          <w:rFonts w:ascii="Calibri" w:eastAsia="Calibri" w:hAnsi="Calibri" w:cs="Arial"/>
          <w:sz w:val="16"/>
          <w:szCs w:val="16"/>
        </w:rPr>
        <w:t xml:space="preserve">There is significant difference between the 2 groups </w:t>
      </w:r>
      <w:r w:rsidR="0078529F" w:rsidRPr="001A1A2A">
        <w:rPr>
          <w:rFonts w:ascii="Calibri" w:eastAsia="Calibri" w:hAnsi="Calibri" w:cs="Arial"/>
          <w:sz w:val="16"/>
          <w:szCs w:val="16"/>
        </w:rPr>
        <w:t xml:space="preserve">with </w:t>
      </w:r>
      <w:r w:rsidR="0078529F" w:rsidRPr="00757780">
        <w:rPr>
          <w:rFonts w:ascii="Calibri" w:eastAsia="Calibri" w:hAnsi="Calibri" w:cs="Arial"/>
          <w:sz w:val="16"/>
          <w:szCs w:val="16"/>
        </w:rPr>
        <w:t xml:space="preserve">P value </w:t>
      </w:r>
      <w:r w:rsidR="0078529F" w:rsidRPr="00757780">
        <w:rPr>
          <w:rFonts w:ascii="Arial" w:eastAsia="Times New Roman" w:hAnsi="Arial" w:cs="Arial"/>
          <w:color w:val="000000"/>
          <w:sz w:val="16"/>
          <w:szCs w:val="16"/>
        </w:rPr>
        <w:t>&lt;0.001</w:t>
      </w:r>
      <w:r w:rsidR="0078529F" w:rsidRPr="001A1A2A">
        <w:rPr>
          <w:rFonts w:ascii="Arial" w:eastAsia="Times New Roman" w:hAnsi="Arial" w:cs="Arial"/>
          <w:color w:val="000000"/>
          <w:sz w:val="16"/>
          <w:szCs w:val="16"/>
        </w:rPr>
        <w:t xml:space="preserve">, increase opioid consumption in the form of fentanyl in the fentanyl group more than the lidocaine group. </w:t>
      </w:r>
    </w:p>
    <w:p w14:paraId="22804C93" w14:textId="29FEE3B6" w:rsidR="00757780" w:rsidRPr="00757780" w:rsidRDefault="00757780" w:rsidP="00757780">
      <w:pPr>
        <w:rPr>
          <w:rFonts w:ascii="Calibri" w:eastAsia="Calibri" w:hAnsi="Calibri" w:cs="Arial"/>
          <w:b/>
          <w:bCs/>
          <w:sz w:val="16"/>
          <w:szCs w:val="16"/>
        </w:rPr>
      </w:pPr>
      <w:r w:rsidRPr="00757780">
        <w:rPr>
          <w:rFonts w:ascii="Calibri" w:eastAsia="Calibri" w:hAnsi="Calibri" w:cs="Arial"/>
          <w:b/>
          <w:bCs/>
          <w:sz w:val="16"/>
          <w:szCs w:val="16"/>
        </w:rPr>
        <w:t>Table (1</w:t>
      </w:r>
      <w:r w:rsidR="00FA3A96" w:rsidRPr="001A1A2A">
        <w:rPr>
          <w:rFonts w:ascii="Calibri" w:eastAsia="Calibri" w:hAnsi="Calibri" w:cs="Arial"/>
          <w:b/>
          <w:bCs/>
          <w:sz w:val="16"/>
          <w:szCs w:val="16"/>
        </w:rPr>
        <w:t>2</w:t>
      </w:r>
      <w:r w:rsidRPr="00757780">
        <w:rPr>
          <w:rFonts w:ascii="Calibri" w:eastAsia="Calibri" w:hAnsi="Calibri" w:cs="Arial"/>
          <w:b/>
          <w:bCs/>
          <w:sz w:val="16"/>
          <w:szCs w:val="16"/>
        </w:rPr>
        <w:t xml:space="preserve">) </w:t>
      </w:r>
      <w:r w:rsidR="00CD1B7F" w:rsidRPr="001A1A2A">
        <w:rPr>
          <w:rFonts w:ascii="Calibri" w:eastAsia="Calibri" w:hAnsi="Calibri" w:cs="Arial"/>
          <w:b/>
          <w:bCs/>
          <w:sz w:val="16"/>
          <w:szCs w:val="16"/>
        </w:rPr>
        <w:t xml:space="preserve">First 24 hours demand of </w:t>
      </w:r>
      <w:bookmarkStart w:id="5" w:name="_Hlk516233997"/>
      <w:r w:rsidR="00CD1B7F" w:rsidRPr="001A1A2A">
        <w:rPr>
          <w:rFonts w:ascii="Calibri" w:eastAsia="Calibri" w:hAnsi="Calibri" w:cs="Arial"/>
          <w:b/>
          <w:bCs/>
          <w:sz w:val="16"/>
          <w:szCs w:val="16"/>
        </w:rPr>
        <w:t xml:space="preserve">postoperative controlled analgesia </w:t>
      </w:r>
      <w:bookmarkEnd w:id="5"/>
      <w:r w:rsidR="00CD1B7F" w:rsidRPr="001A1A2A">
        <w:rPr>
          <w:rFonts w:ascii="Calibri" w:eastAsia="Calibri" w:hAnsi="Calibri" w:cs="Arial"/>
          <w:b/>
          <w:bCs/>
          <w:sz w:val="16"/>
          <w:szCs w:val="16"/>
        </w:rPr>
        <w:t xml:space="preserve">(PCA) </w:t>
      </w:r>
    </w:p>
    <w:tbl>
      <w:tblPr>
        <w:tblW w:w="9239"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1"/>
        <w:gridCol w:w="3752"/>
        <w:gridCol w:w="1114"/>
        <w:gridCol w:w="1112"/>
        <w:gridCol w:w="1575"/>
        <w:gridCol w:w="1605"/>
      </w:tblGrid>
      <w:tr w:rsidR="00757780" w:rsidRPr="00757780" w14:paraId="27F3DDCC" w14:textId="77777777" w:rsidTr="006D17CD">
        <w:trPr>
          <w:cantSplit/>
          <w:tblHeader/>
        </w:trPr>
        <w:tc>
          <w:tcPr>
            <w:tcW w:w="81" w:type="dxa"/>
            <w:vMerge w:val="restart"/>
            <w:tcBorders>
              <w:left w:val="single" w:sz="16" w:space="0" w:color="000000"/>
              <w:right w:val="nil"/>
            </w:tcBorders>
            <w:shd w:val="clear" w:color="auto" w:fill="FFFFFF"/>
            <w:tcMar>
              <w:top w:w="30" w:type="dxa"/>
              <w:left w:w="30" w:type="dxa"/>
              <w:bottom w:w="30" w:type="dxa"/>
              <w:right w:w="30" w:type="dxa"/>
            </w:tcMar>
          </w:tcPr>
          <w:p w14:paraId="2F065B86" w14:textId="38731169" w:rsidR="00757780" w:rsidRPr="00757780" w:rsidRDefault="00757780" w:rsidP="00757780">
            <w:pPr>
              <w:widowControl w:val="0"/>
              <w:autoSpaceDE w:val="0"/>
              <w:autoSpaceDN w:val="0"/>
              <w:adjustRightInd w:val="0"/>
              <w:spacing w:after="0" w:line="320" w:lineRule="atLeast"/>
              <w:rPr>
                <w:rFonts w:ascii="Arial" w:eastAsia="Times New Roman" w:hAnsi="Arial" w:cs="Arial"/>
                <w:color w:val="000000"/>
                <w:sz w:val="16"/>
                <w:szCs w:val="16"/>
              </w:rPr>
            </w:pPr>
          </w:p>
        </w:tc>
        <w:tc>
          <w:tcPr>
            <w:tcW w:w="3752" w:type="dxa"/>
            <w:tcBorders>
              <w:left w:val="nil"/>
              <w:bottom w:val="nil"/>
              <w:right w:val="single" w:sz="16" w:space="0" w:color="000000"/>
            </w:tcBorders>
            <w:shd w:val="clear" w:color="auto" w:fill="FFFFFF"/>
            <w:tcMar>
              <w:top w:w="30" w:type="dxa"/>
              <w:left w:w="30" w:type="dxa"/>
              <w:bottom w:w="30" w:type="dxa"/>
              <w:right w:w="30" w:type="dxa"/>
            </w:tcMar>
          </w:tcPr>
          <w:p w14:paraId="21F1FF65" w14:textId="4CA705B8" w:rsidR="00757780" w:rsidRPr="00757780" w:rsidRDefault="00757780" w:rsidP="00757780">
            <w:pPr>
              <w:widowControl w:val="0"/>
              <w:autoSpaceDE w:val="0"/>
              <w:autoSpaceDN w:val="0"/>
              <w:adjustRightInd w:val="0"/>
              <w:spacing w:after="0" w:line="320" w:lineRule="atLeast"/>
              <w:rPr>
                <w:rFonts w:ascii="Arial" w:eastAsia="Times New Roman" w:hAnsi="Arial" w:cs="Arial"/>
                <w:color w:val="000000"/>
                <w:sz w:val="16"/>
                <w:szCs w:val="16"/>
              </w:rPr>
            </w:pPr>
            <w:r w:rsidRPr="00757780">
              <w:rPr>
                <w:rFonts w:ascii="Arial" w:eastAsia="Times New Roman" w:hAnsi="Arial" w:cs="Arial"/>
                <w:color w:val="000000"/>
                <w:sz w:val="16"/>
                <w:szCs w:val="16"/>
              </w:rPr>
              <w:t>Lidocaine</w:t>
            </w:r>
            <w:r w:rsidR="00CD1B7F" w:rsidRPr="001A1A2A">
              <w:rPr>
                <w:rFonts w:ascii="Arial" w:eastAsia="Times New Roman" w:hAnsi="Arial" w:cs="Arial"/>
                <w:color w:val="000000"/>
                <w:sz w:val="16"/>
                <w:szCs w:val="16"/>
              </w:rPr>
              <w:t xml:space="preserve"> group</w:t>
            </w:r>
          </w:p>
        </w:tc>
        <w:tc>
          <w:tcPr>
            <w:tcW w:w="1114" w:type="dxa"/>
            <w:tcBorders>
              <w:left w:val="single" w:sz="16" w:space="0" w:color="000000"/>
              <w:bottom w:val="nil"/>
            </w:tcBorders>
            <w:shd w:val="clear" w:color="auto" w:fill="FFFFFF"/>
            <w:tcMar>
              <w:top w:w="30" w:type="dxa"/>
              <w:left w:w="30" w:type="dxa"/>
              <w:bottom w:w="30" w:type="dxa"/>
              <w:right w:w="30" w:type="dxa"/>
            </w:tcMar>
            <w:vAlign w:val="center"/>
          </w:tcPr>
          <w:p w14:paraId="5BDF85C1"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25</w:t>
            </w:r>
          </w:p>
        </w:tc>
        <w:tc>
          <w:tcPr>
            <w:tcW w:w="1112" w:type="dxa"/>
            <w:tcBorders>
              <w:bottom w:val="nil"/>
            </w:tcBorders>
            <w:shd w:val="clear" w:color="auto" w:fill="FFFFFF"/>
            <w:tcMar>
              <w:top w:w="30" w:type="dxa"/>
              <w:left w:w="30" w:type="dxa"/>
              <w:bottom w:w="30" w:type="dxa"/>
              <w:right w:w="30" w:type="dxa"/>
            </w:tcMar>
            <w:vAlign w:val="center"/>
          </w:tcPr>
          <w:p w14:paraId="291B2291"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74.24</w:t>
            </w:r>
          </w:p>
        </w:tc>
        <w:tc>
          <w:tcPr>
            <w:tcW w:w="1575" w:type="dxa"/>
            <w:tcBorders>
              <w:bottom w:val="nil"/>
            </w:tcBorders>
            <w:shd w:val="clear" w:color="auto" w:fill="FFFFFF"/>
            <w:tcMar>
              <w:top w:w="30" w:type="dxa"/>
              <w:left w:w="30" w:type="dxa"/>
              <w:bottom w:w="30" w:type="dxa"/>
              <w:right w:w="30" w:type="dxa"/>
            </w:tcMar>
            <w:vAlign w:val="center"/>
          </w:tcPr>
          <w:p w14:paraId="1109EC45"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±40.882</w:t>
            </w:r>
          </w:p>
        </w:tc>
        <w:tc>
          <w:tcPr>
            <w:tcW w:w="1605" w:type="dxa"/>
            <w:tcBorders>
              <w:bottom w:val="nil"/>
              <w:right w:val="single" w:sz="16" w:space="0" w:color="000000"/>
            </w:tcBorders>
            <w:shd w:val="clear" w:color="auto" w:fill="FFFFFF"/>
            <w:tcMar>
              <w:top w:w="30" w:type="dxa"/>
              <w:left w:w="30" w:type="dxa"/>
              <w:bottom w:w="30" w:type="dxa"/>
              <w:right w:w="30" w:type="dxa"/>
            </w:tcMar>
            <w:vAlign w:val="center"/>
          </w:tcPr>
          <w:p w14:paraId="44B9D381"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0.235</w:t>
            </w:r>
          </w:p>
        </w:tc>
      </w:tr>
      <w:tr w:rsidR="00757780" w:rsidRPr="00757780" w14:paraId="388034DE" w14:textId="77777777" w:rsidTr="00D83908">
        <w:trPr>
          <w:cantSplit/>
          <w:trHeight w:val="256"/>
          <w:tblHeader/>
        </w:trPr>
        <w:tc>
          <w:tcPr>
            <w:tcW w:w="81" w:type="dxa"/>
            <w:vMerge/>
            <w:tcBorders>
              <w:left w:val="single" w:sz="16" w:space="0" w:color="000000"/>
              <w:right w:val="nil"/>
            </w:tcBorders>
            <w:shd w:val="clear" w:color="auto" w:fill="FFFFFF"/>
            <w:tcMar>
              <w:top w:w="30" w:type="dxa"/>
              <w:left w:w="30" w:type="dxa"/>
              <w:bottom w:w="30" w:type="dxa"/>
              <w:right w:w="30" w:type="dxa"/>
            </w:tcMar>
          </w:tcPr>
          <w:p w14:paraId="51909E18" w14:textId="77777777" w:rsidR="00757780" w:rsidRPr="00757780" w:rsidRDefault="00757780" w:rsidP="00757780">
            <w:pPr>
              <w:widowControl w:val="0"/>
              <w:autoSpaceDE w:val="0"/>
              <w:autoSpaceDN w:val="0"/>
              <w:adjustRightInd w:val="0"/>
              <w:spacing w:after="0" w:line="240" w:lineRule="auto"/>
              <w:rPr>
                <w:rFonts w:ascii="Arial" w:eastAsia="Times New Roman" w:hAnsi="Arial" w:cs="Arial"/>
                <w:color w:val="000000"/>
                <w:sz w:val="16"/>
                <w:szCs w:val="16"/>
              </w:rPr>
            </w:pPr>
          </w:p>
        </w:tc>
        <w:tc>
          <w:tcPr>
            <w:tcW w:w="3752" w:type="dxa"/>
            <w:tcBorders>
              <w:top w:val="nil"/>
              <w:left w:val="nil"/>
              <w:right w:val="single" w:sz="16" w:space="0" w:color="000000"/>
            </w:tcBorders>
            <w:shd w:val="clear" w:color="auto" w:fill="FFFFFF"/>
            <w:tcMar>
              <w:top w:w="30" w:type="dxa"/>
              <w:left w:w="30" w:type="dxa"/>
              <w:bottom w:w="30" w:type="dxa"/>
              <w:right w:w="30" w:type="dxa"/>
            </w:tcMar>
          </w:tcPr>
          <w:p w14:paraId="340DE765" w14:textId="7937E214" w:rsidR="00CD1B7F" w:rsidRPr="00757780" w:rsidRDefault="00CD1B7F" w:rsidP="00757780">
            <w:pPr>
              <w:widowControl w:val="0"/>
              <w:autoSpaceDE w:val="0"/>
              <w:autoSpaceDN w:val="0"/>
              <w:adjustRightInd w:val="0"/>
              <w:spacing w:after="0" w:line="320" w:lineRule="atLeast"/>
              <w:rPr>
                <w:rFonts w:ascii="Arial" w:eastAsia="Times New Roman" w:hAnsi="Arial" w:cs="Arial"/>
                <w:color w:val="000000"/>
                <w:sz w:val="16"/>
                <w:szCs w:val="16"/>
              </w:rPr>
            </w:pPr>
            <w:r w:rsidRPr="001A1A2A">
              <w:rPr>
                <w:rFonts w:ascii="Arial" w:eastAsia="Times New Roman" w:hAnsi="Arial" w:cs="Arial"/>
                <w:color w:val="000000"/>
                <w:sz w:val="16"/>
                <w:szCs w:val="16"/>
              </w:rPr>
              <w:t>Fentanyl group</w:t>
            </w:r>
          </w:p>
        </w:tc>
        <w:tc>
          <w:tcPr>
            <w:tcW w:w="1114" w:type="dxa"/>
            <w:tcBorders>
              <w:top w:val="nil"/>
              <w:left w:val="single" w:sz="16" w:space="0" w:color="000000"/>
            </w:tcBorders>
            <w:shd w:val="clear" w:color="auto" w:fill="FFFFFF"/>
            <w:tcMar>
              <w:top w:w="30" w:type="dxa"/>
              <w:left w:w="30" w:type="dxa"/>
              <w:bottom w:w="30" w:type="dxa"/>
              <w:right w:w="30" w:type="dxa"/>
            </w:tcMar>
            <w:vAlign w:val="center"/>
          </w:tcPr>
          <w:p w14:paraId="1472DE04"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25</w:t>
            </w:r>
          </w:p>
        </w:tc>
        <w:tc>
          <w:tcPr>
            <w:tcW w:w="1112" w:type="dxa"/>
            <w:tcBorders>
              <w:top w:val="nil"/>
            </w:tcBorders>
            <w:shd w:val="clear" w:color="auto" w:fill="FFFFFF"/>
            <w:tcMar>
              <w:top w:w="30" w:type="dxa"/>
              <w:left w:w="30" w:type="dxa"/>
              <w:bottom w:w="30" w:type="dxa"/>
              <w:right w:w="30" w:type="dxa"/>
            </w:tcMar>
            <w:vAlign w:val="center"/>
          </w:tcPr>
          <w:p w14:paraId="15BC0E81"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61.00</w:t>
            </w:r>
          </w:p>
        </w:tc>
        <w:tc>
          <w:tcPr>
            <w:tcW w:w="1575" w:type="dxa"/>
            <w:tcBorders>
              <w:top w:val="nil"/>
            </w:tcBorders>
            <w:shd w:val="clear" w:color="auto" w:fill="FFFFFF"/>
            <w:tcMar>
              <w:top w:w="30" w:type="dxa"/>
              <w:left w:w="30" w:type="dxa"/>
              <w:bottom w:w="30" w:type="dxa"/>
              <w:right w:w="30" w:type="dxa"/>
            </w:tcMar>
            <w:vAlign w:val="center"/>
          </w:tcPr>
          <w:p w14:paraId="6A85368A"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±36.860</w:t>
            </w:r>
          </w:p>
        </w:tc>
        <w:tc>
          <w:tcPr>
            <w:tcW w:w="1605" w:type="dxa"/>
            <w:tcBorders>
              <w:top w:val="nil"/>
              <w:right w:val="single" w:sz="16" w:space="0" w:color="000000"/>
            </w:tcBorders>
            <w:shd w:val="clear" w:color="auto" w:fill="FFFFFF"/>
            <w:tcMar>
              <w:top w:w="30" w:type="dxa"/>
              <w:left w:w="30" w:type="dxa"/>
              <w:bottom w:w="30" w:type="dxa"/>
              <w:right w:w="30" w:type="dxa"/>
            </w:tcMar>
            <w:vAlign w:val="center"/>
          </w:tcPr>
          <w:p w14:paraId="138A3782"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p>
        </w:tc>
      </w:tr>
    </w:tbl>
    <w:p w14:paraId="00E471F6" w14:textId="77777777" w:rsidR="00D83908" w:rsidRDefault="00914462" w:rsidP="00D83908">
      <w:pPr>
        <w:rPr>
          <w:rFonts w:ascii="Calibri" w:eastAsia="Calibri" w:hAnsi="Calibri" w:cs="Arial"/>
          <w:sz w:val="16"/>
          <w:szCs w:val="16"/>
        </w:rPr>
      </w:pPr>
      <w:r w:rsidRPr="001A1A2A">
        <w:rPr>
          <w:rFonts w:ascii="Calibri" w:eastAsia="Calibri" w:hAnsi="Calibri" w:cs="Arial"/>
          <w:sz w:val="16"/>
          <w:szCs w:val="16"/>
        </w:rPr>
        <w:t>There is no significant difference between the 2 groups regarding first 24 hours demands of the PCA</w:t>
      </w:r>
    </w:p>
    <w:p w14:paraId="0F2E60A2" w14:textId="77777777" w:rsidR="00D83908" w:rsidRDefault="00D83908" w:rsidP="00D83908">
      <w:pPr>
        <w:rPr>
          <w:rFonts w:ascii="Calibri" w:eastAsia="Calibri" w:hAnsi="Calibri" w:cs="Arial"/>
          <w:b/>
          <w:bCs/>
          <w:sz w:val="16"/>
          <w:szCs w:val="16"/>
        </w:rPr>
      </w:pPr>
    </w:p>
    <w:p w14:paraId="3B414D75" w14:textId="77777777" w:rsidR="00D83908" w:rsidRDefault="00D83908" w:rsidP="00D83908">
      <w:pPr>
        <w:rPr>
          <w:rFonts w:ascii="Calibri" w:eastAsia="Calibri" w:hAnsi="Calibri" w:cs="Arial"/>
          <w:b/>
          <w:bCs/>
          <w:sz w:val="16"/>
          <w:szCs w:val="16"/>
        </w:rPr>
      </w:pPr>
    </w:p>
    <w:p w14:paraId="26C57C7F" w14:textId="77777777" w:rsidR="00D83908" w:rsidRDefault="00D83908" w:rsidP="00D83908">
      <w:pPr>
        <w:rPr>
          <w:rFonts w:ascii="Calibri" w:eastAsia="Calibri" w:hAnsi="Calibri" w:cs="Arial"/>
          <w:b/>
          <w:bCs/>
          <w:sz w:val="16"/>
          <w:szCs w:val="16"/>
        </w:rPr>
      </w:pPr>
    </w:p>
    <w:p w14:paraId="4C095A54" w14:textId="6D9D1CFB" w:rsidR="00757780" w:rsidRPr="00757780" w:rsidRDefault="00757780" w:rsidP="00D83908">
      <w:pPr>
        <w:rPr>
          <w:rFonts w:ascii="Calibri" w:eastAsia="Calibri" w:hAnsi="Calibri" w:cs="Arial"/>
          <w:sz w:val="16"/>
          <w:szCs w:val="16"/>
        </w:rPr>
      </w:pPr>
      <w:r w:rsidRPr="00757780">
        <w:rPr>
          <w:rFonts w:ascii="Calibri" w:eastAsia="Calibri" w:hAnsi="Calibri" w:cs="Arial"/>
          <w:b/>
          <w:bCs/>
          <w:sz w:val="16"/>
          <w:szCs w:val="16"/>
        </w:rPr>
        <w:t>Table (1</w:t>
      </w:r>
      <w:r w:rsidR="00D83908">
        <w:rPr>
          <w:rFonts w:ascii="Calibri" w:eastAsia="Calibri" w:hAnsi="Calibri" w:cs="Arial"/>
          <w:b/>
          <w:bCs/>
          <w:sz w:val="16"/>
          <w:szCs w:val="16"/>
        </w:rPr>
        <w:t>3</w:t>
      </w:r>
      <w:r w:rsidRPr="00757780">
        <w:rPr>
          <w:rFonts w:ascii="Calibri" w:eastAsia="Calibri" w:hAnsi="Calibri" w:cs="Arial"/>
          <w:b/>
          <w:bCs/>
          <w:sz w:val="16"/>
          <w:szCs w:val="16"/>
        </w:rPr>
        <w:t xml:space="preserve">) </w:t>
      </w:r>
      <w:r w:rsidR="00CD1B7F" w:rsidRPr="001A1A2A">
        <w:rPr>
          <w:rFonts w:ascii="Calibri" w:eastAsia="Calibri" w:hAnsi="Calibri" w:cs="Arial"/>
          <w:b/>
          <w:bCs/>
          <w:sz w:val="16"/>
          <w:szCs w:val="16"/>
        </w:rPr>
        <w:t xml:space="preserve">postoperative controlled analgesia (PCA) doses given the first 24 hours </w:t>
      </w:r>
    </w:p>
    <w:tbl>
      <w:tblPr>
        <w:tblW w:w="9239"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1"/>
        <w:gridCol w:w="3752"/>
        <w:gridCol w:w="1114"/>
        <w:gridCol w:w="1112"/>
        <w:gridCol w:w="1575"/>
        <w:gridCol w:w="1605"/>
      </w:tblGrid>
      <w:tr w:rsidR="00757780" w:rsidRPr="00757780" w14:paraId="7725AFFB" w14:textId="77777777" w:rsidTr="006D17CD">
        <w:trPr>
          <w:cantSplit/>
          <w:tblHeader/>
        </w:trPr>
        <w:tc>
          <w:tcPr>
            <w:tcW w:w="81" w:type="dxa"/>
            <w:vMerge w:val="restart"/>
            <w:tcBorders>
              <w:left w:val="single" w:sz="16" w:space="0" w:color="000000"/>
              <w:right w:val="nil"/>
            </w:tcBorders>
            <w:shd w:val="clear" w:color="auto" w:fill="FFFFFF"/>
            <w:tcMar>
              <w:top w:w="30" w:type="dxa"/>
              <w:left w:w="30" w:type="dxa"/>
              <w:bottom w:w="30" w:type="dxa"/>
              <w:right w:w="30" w:type="dxa"/>
            </w:tcMar>
          </w:tcPr>
          <w:p w14:paraId="1DDB20A2" w14:textId="47357963" w:rsidR="00757780" w:rsidRPr="00757780" w:rsidRDefault="00757780" w:rsidP="00757780">
            <w:pPr>
              <w:widowControl w:val="0"/>
              <w:autoSpaceDE w:val="0"/>
              <w:autoSpaceDN w:val="0"/>
              <w:adjustRightInd w:val="0"/>
              <w:spacing w:after="0" w:line="320" w:lineRule="atLeast"/>
              <w:rPr>
                <w:rFonts w:ascii="Arial" w:eastAsia="Times New Roman" w:hAnsi="Arial" w:cs="Arial"/>
                <w:color w:val="000000"/>
                <w:sz w:val="16"/>
                <w:szCs w:val="16"/>
              </w:rPr>
            </w:pPr>
          </w:p>
        </w:tc>
        <w:tc>
          <w:tcPr>
            <w:tcW w:w="3752" w:type="dxa"/>
            <w:tcBorders>
              <w:left w:val="nil"/>
              <w:bottom w:val="nil"/>
              <w:right w:val="single" w:sz="16" w:space="0" w:color="000000"/>
            </w:tcBorders>
            <w:shd w:val="clear" w:color="auto" w:fill="FFFFFF"/>
            <w:tcMar>
              <w:top w:w="30" w:type="dxa"/>
              <w:left w:w="30" w:type="dxa"/>
              <w:bottom w:w="30" w:type="dxa"/>
              <w:right w:w="30" w:type="dxa"/>
            </w:tcMar>
          </w:tcPr>
          <w:p w14:paraId="7A7FB1B4" w14:textId="7850A784" w:rsidR="00757780" w:rsidRPr="00757780" w:rsidRDefault="00757780" w:rsidP="00757780">
            <w:pPr>
              <w:widowControl w:val="0"/>
              <w:autoSpaceDE w:val="0"/>
              <w:autoSpaceDN w:val="0"/>
              <w:adjustRightInd w:val="0"/>
              <w:spacing w:after="0" w:line="320" w:lineRule="atLeast"/>
              <w:rPr>
                <w:rFonts w:ascii="Arial" w:eastAsia="Times New Roman" w:hAnsi="Arial" w:cs="Arial"/>
                <w:color w:val="000000"/>
                <w:sz w:val="16"/>
                <w:szCs w:val="16"/>
              </w:rPr>
            </w:pPr>
            <w:r w:rsidRPr="00757780">
              <w:rPr>
                <w:rFonts w:ascii="Arial" w:eastAsia="Times New Roman" w:hAnsi="Arial" w:cs="Arial"/>
                <w:color w:val="000000"/>
                <w:sz w:val="16"/>
                <w:szCs w:val="16"/>
              </w:rPr>
              <w:t>Lidocaine</w:t>
            </w:r>
            <w:r w:rsidR="00CD1B7F" w:rsidRPr="001A1A2A">
              <w:rPr>
                <w:rFonts w:ascii="Arial" w:eastAsia="Times New Roman" w:hAnsi="Arial" w:cs="Arial"/>
                <w:color w:val="000000"/>
                <w:sz w:val="16"/>
                <w:szCs w:val="16"/>
              </w:rPr>
              <w:t xml:space="preserve"> group</w:t>
            </w:r>
          </w:p>
        </w:tc>
        <w:tc>
          <w:tcPr>
            <w:tcW w:w="1114" w:type="dxa"/>
            <w:tcBorders>
              <w:left w:val="single" w:sz="16" w:space="0" w:color="000000"/>
              <w:bottom w:val="nil"/>
            </w:tcBorders>
            <w:shd w:val="clear" w:color="auto" w:fill="FFFFFF"/>
            <w:tcMar>
              <w:top w:w="30" w:type="dxa"/>
              <w:left w:w="30" w:type="dxa"/>
              <w:bottom w:w="30" w:type="dxa"/>
              <w:right w:w="30" w:type="dxa"/>
            </w:tcMar>
            <w:vAlign w:val="center"/>
          </w:tcPr>
          <w:p w14:paraId="0FD131D7"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25</w:t>
            </w:r>
          </w:p>
        </w:tc>
        <w:tc>
          <w:tcPr>
            <w:tcW w:w="1112" w:type="dxa"/>
            <w:tcBorders>
              <w:bottom w:val="nil"/>
            </w:tcBorders>
            <w:shd w:val="clear" w:color="auto" w:fill="FFFFFF"/>
            <w:tcMar>
              <w:top w:w="30" w:type="dxa"/>
              <w:left w:w="30" w:type="dxa"/>
              <w:bottom w:w="30" w:type="dxa"/>
              <w:right w:w="30" w:type="dxa"/>
            </w:tcMar>
            <w:vAlign w:val="center"/>
          </w:tcPr>
          <w:p w14:paraId="6771CADD"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36.76</w:t>
            </w:r>
          </w:p>
        </w:tc>
        <w:tc>
          <w:tcPr>
            <w:tcW w:w="1575" w:type="dxa"/>
            <w:tcBorders>
              <w:bottom w:val="nil"/>
            </w:tcBorders>
            <w:shd w:val="clear" w:color="auto" w:fill="FFFFFF"/>
            <w:tcMar>
              <w:top w:w="30" w:type="dxa"/>
              <w:left w:w="30" w:type="dxa"/>
              <w:bottom w:w="30" w:type="dxa"/>
              <w:right w:w="30" w:type="dxa"/>
            </w:tcMar>
            <w:vAlign w:val="center"/>
          </w:tcPr>
          <w:p w14:paraId="13805E40"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±14.895</w:t>
            </w:r>
          </w:p>
        </w:tc>
        <w:tc>
          <w:tcPr>
            <w:tcW w:w="1605" w:type="dxa"/>
            <w:tcBorders>
              <w:bottom w:val="nil"/>
              <w:right w:val="single" w:sz="16" w:space="0" w:color="000000"/>
            </w:tcBorders>
            <w:shd w:val="clear" w:color="auto" w:fill="FFFFFF"/>
            <w:tcMar>
              <w:top w:w="30" w:type="dxa"/>
              <w:left w:w="30" w:type="dxa"/>
              <w:bottom w:w="30" w:type="dxa"/>
              <w:right w:w="30" w:type="dxa"/>
            </w:tcMar>
            <w:vAlign w:val="center"/>
          </w:tcPr>
          <w:p w14:paraId="3EAC682F"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0.954</w:t>
            </w:r>
          </w:p>
        </w:tc>
      </w:tr>
      <w:tr w:rsidR="00757780" w:rsidRPr="00757780" w14:paraId="0739AEEE" w14:textId="77777777" w:rsidTr="00D83908">
        <w:trPr>
          <w:cantSplit/>
          <w:trHeight w:val="49"/>
          <w:tblHeader/>
        </w:trPr>
        <w:tc>
          <w:tcPr>
            <w:tcW w:w="81" w:type="dxa"/>
            <w:vMerge/>
            <w:tcBorders>
              <w:left w:val="single" w:sz="16" w:space="0" w:color="000000"/>
              <w:right w:val="nil"/>
            </w:tcBorders>
            <w:shd w:val="clear" w:color="auto" w:fill="FFFFFF"/>
            <w:tcMar>
              <w:top w:w="30" w:type="dxa"/>
              <w:left w:w="30" w:type="dxa"/>
              <w:bottom w:w="30" w:type="dxa"/>
              <w:right w:w="30" w:type="dxa"/>
            </w:tcMar>
          </w:tcPr>
          <w:p w14:paraId="7BDD3960" w14:textId="77777777" w:rsidR="00757780" w:rsidRPr="00757780" w:rsidRDefault="00757780" w:rsidP="00757780">
            <w:pPr>
              <w:widowControl w:val="0"/>
              <w:autoSpaceDE w:val="0"/>
              <w:autoSpaceDN w:val="0"/>
              <w:adjustRightInd w:val="0"/>
              <w:spacing w:after="0" w:line="240" w:lineRule="auto"/>
              <w:rPr>
                <w:rFonts w:ascii="Arial" w:eastAsia="Times New Roman" w:hAnsi="Arial" w:cs="Arial"/>
                <w:color w:val="000000"/>
                <w:sz w:val="16"/>
                <w:szCs w:val="16"/>
              </w:rPr>
            </w:pPr>
          </w:p>
        </w:tc>
        <w:tc>
          <w:tcPr>
            <w:tcW w:w="3752" w:type="dxa"/>
            <w:tcBorders>
              <w:top w:val="nil"/>
              <w:left w:val="nil"/>
              <w:right w:val="single" w:sz="16" w:space="0" w:color="000000"/>
            </w:tcBorders>
            <w:shd w:val="clear" w:color="auto" w:fill="FFFFFF"/>
            <w:tcMar>
              <w:top w:w="30" w:type="dxa"/>
              <w:left w:w="30" w:type="dxa"/>
              <w:bottom w:w="30" w:type="dxa"/>
              <w:right w:w="30" w:type="dxa"/>
            </w:tcMar>
          </w:tcPr>
          <w:p w14:paraId="70EF0831" w14:textId="62AD2972" w:rsidR="00CD1B7F" w:rsidRPr="00757780" w:rsidRDefault="00CD1B7F" w:rsidP="00757780">
            <w:pPr>
              <w:widowControl w:val="0"/>
              <w:autoSpaceDE w:val="0"/>
              <w:autoSpaceDN w:val="0"/>
              <w:adjustRightInd w:val="0"/>
              <w:spacing w:after="0" w:line="320" w:lineRule="atLeast"/>
              <w:rPr>
                <w:rFonts w:ascii="Arial" w:eastAsia="Times New Roman" w:hAnsi="Arial" w:cs="Arial"/>
                <w:color w:val="000000"/>
                <w:sz w:val="16"/>
                <w:szCs w:val="16"/>
              </w:rPr>
            </w:pPr>
            <w:r w:rsidRPr="00757780">
              <w:rPr>
                <w:rFonts w:ascii="Arial" w:eastAsia="Times New Roman" w:hAnsi="Arial" w:cs="Arial"/>
                <w:color w:val="000000"/>
                <w:sz w:val="16"/>
                <w:szCs w:val="16"/>
              </w:rPr>
              <w:t>Fentanyl</w:t>
            </w:r>
            <w:r w:rsidRPr="001A1A2A">
              <w:rPr>
                <w:rFonts w:ascii="Arial" w:eastAsia="Times New Roman" w:hAnsi="Arial" w:cs="Arial"/>
                <w:color w:val="000000"/>
                <w:sz w:val="16"/>
                <w:szCs w:val="16"/>
              </w:rPr>
              <w:t xml:space="preserve"> group</w:t>
            </w:r>
          </w:p>
        </w:tc>
        <w:tc>
          <w:tcPr>
            <w:tcW w:w="1114" w:type="dxa"/>
            <w:tcBorders>
              <w:top w:val="nil"/>
              <w:left w:val="single" w:sz="16" w:space="0" w:color="000000"/>
            </w:tcBorders>
            <w:shd w:val="clear" w:color="auto" w:fill="FFFFFF"/>
            <w:tcMar>
              <w:top w:w="30" w:type="dxa"/>
              <w:left w:w="30" w:type="dxa"/>
              <w:bottom w:w="30" w:type="dxa"/>
              <w:right w:w="30" w:type="dxa"/>
            </w:tcMar>
            <w:vAlign w:val="center"/>
          </w:tcPr>
          <w:p w14:paraId="1D1A246F"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25</w:t>
            </w:r>
          </w:p>
        </w:tc>
        <w:tc>
          <w:tcPr>
            <w:tcW w:w="1112" w:type="dxa"/>
            <w:tcBorders>
              <w:top w:val="nil"/>
            </w:tcBorders>
            <w:shd w:val="clear" w:color="auto" w:fill="FFFFFF"/>
            <w:tcMar>
              <w:top w:w="30" w:type="dxa"/>
              <w:left w:w="30" w:type="dxa"/>
              <w:bottom w:w="30" w:type="dxa"/>
              <w:right w:w="30" w:type="dxa"/>
            </w:tcMar>
            <w:vAlign w:val="center"/>
          </w:tcPr>
          <w:p w14:paraId="0EF467B5"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36.52</w:t>
            </w:r>
          </w:p>
        </w:tc>
        <w:tc>
          <w:tcPr>
            <w:tcW w:w="1575" w:type="dxa"/>
            <w:tcBorders>
              <w:top w:val="nil"/>
            </w:tcBorders>
            <w:shd w:val="clear" w:color="auto" w:fill="FFFFFF"/>
            <w:tcMar>
              <w:top w:w="30" w:type="dxa"/>
              <w:left w:w="30" w:type="dxa"/>
              <w:bottom w:w="30" w:type="dxa"/>
              <w:right w:w="30" w:type="dxa"/>
            </w:tcMar>
            <w:vAlign w:val="center"/>
          </w:tcPr>
          <w:p w14:paraId="513B32C4"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±14.336</w:t>
            </w:r>
          </w:p>
        </w:tc>
        <w:tc>
          <w:tcPr>
            <w:tcW w:w="1605" w:type="dxa"/>
            <w:tcBorders>
              <w:top w:val="nil"/>
              <w:right w:val="single" w:sz="16" w:space="0" w:color="000000"/>
            </w:tcBorders>
            <w:shd w:val="clear" w:color="auto" w:fill="FFFFFF"/>
            <w:tcMar>
              <w:top w:w="30" w:type="dxa"/>
              <w:left w:w="30" w:type="dxa"/>
              <w:bottom w:w="30" w:type="dxa"/>
              <w:right w:w="30" w:type="dxa"/>
            </w:tcMar>
            <w:vAlign w:val="center"/>
          </w:tcPr>
          <w:p w14:paraId="671762E4"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p>
        </w:tc>
      </w:tr>
    </w:tbl>
    <w:p w14:paraId="5EE361F8" w14:textId="70C4A499" w:rsidR="001A1A2A" w:rsidRPr="001A1A2A" w:rsidRDefault="001A1A2A" w:rsidP="00757780">
      <w:pPr>
        <w:rPr>
          <w:rFonts w:ascii="Calibri" w:eastAsia="Calibri" w:hAnsi="Calibri" w:cs="Arial"/>
          <w:sz w:val="16"/>
          <w:szCs w:val="16"/>
        </w:rPr>
      </w:pPr>
      <w:r w:rsidRPr="001A1A2A">
        <w:rPr>
          <w:rFonts w:ascii="Calibri" w:eastAsia="Calibri" w:hAnsi="Calibri" w:cs="Arial"/>
          <w:sz w:val="16"/>
          <w:szCs w:val="16"/>
        </w:rPr>
        <w:t>This table shows no significant difference between the two groups regarding PCA doses given postoperative.</w:t>
      </w:r>
    </w:p>
    <w:p w14:paraId="4908637A" w14:textId="52438591" w:rsidR="00757780" w:rsidRPr="00757780" w:rsidRDefault="00757780" w:rsidP="00757780">
      <w:pPr>
        <w:rPr>
          <w:rFonts w:ascii="Calibri" w:eastAsia="Calibri" w:hAnsi="Calibri" w:cs="Arial"/>
          <w:b/>
          <w:bCs/>
          <w:sz w:val="16"/>
          <w:szCs w:val="16"/>
        </w:rPr>
      </w:pPr>
      <w:r w:rsidRPr="00757780">
        <w:rPr>
          <w:rFonts w:ascii="Calibri" w:eastAsia="Calibri" w:hAnsi="Calibri" w:cs="Arial"/>
          <w:b/>
          <w:bCs/>
          <w:sz w:val="16"/>
          <w:szCs w:val="16"/>
        </w:rPr>
        <w:t>Table (14)</w:t>
      </w:r>
      <w:r w:rsidR="00CD1B7F" w:rsidRPr="001A1A2A">
        <w:rPr>
          <w:rFonts w:ascii="Calibri" w:eastAsia="Calibri" w:hAnsi="Calibri" w:cs="Arial"/>
          <w:b/>
          <w:bCs/>
          <w:sz w:val="16"/>
          <w:szCs w:val="16"/>
        </w:rPr>
        <w:t xml:space="preserve"> </w:t>
      </w:r>
      <w:r w:rsidR="006D17CD" w:rsidRPr="001A1A2A">
        <w:rPr>
          <w:rFonts w:ascii="Calibri" w:eastAsia="Calibri" w:hAnsi="Calibri" w:cs="Arial"/>
          <w:b/>
          <w:bCs/>
          <w:sz w:val="16"/>
          <w:szCs w:val="16"/>
        </w:rPr>
        <w:t>Time required for the first dose in the recovery</w:t>
      </w:r>
    </w:p>
    <w:tbl>
      <w:tblPr>
        <w:tblW w:w="9169"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60"/>
        <w:gridCol w:w="3403"/>
        <w:gridCol w:w="1114"/>
        <w:gridCol w:w="1112"/>
        <w:gridCol w:w="1575"/>
        <w:gridCol w:w="1605"/>
      </w:tblGrid>
      <w:tr w:rsidR="00757780" w:rsidRPr="00757780" w14:paraId="339888C2" w14:textId="77777777" w:rsidTr="006D17CD">
        <w:trPr>
          <w:cantSplit/>
          <w:tblHeader/>
        </w:trPr>
        <w:tc>
          <w:tcPr>
            <w:tcW w:w="360"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61DD0F1E" w14:textId="54E0ECC5" w:rsidR="00757780" w:rsidRPr="00757780" w:rsidRDefault="00757780" w:rsidP="00757780">
            <w:pPr>
              <w:widowControl w:val="0"/>
              <w:autoSpaceDE w:val="0"/>
              <w:autoSpaceDN w:val="0"/>
              <w:adjustRightInd w:val="0"/>
              <w:spacing w:after="0" w:line="320" w:lineRule="atLeast"/>
              <w:rPr>
                <w:rFonts w:ascii="Arial" w:eastAsia="Times New Roman" w:hAnsi="Arial" w:cs="Arial"/>
                <w:color w:val="000000"/>
                <w:sz w:val="16"/>
                <w:szCs w:val="16"/>
              </w:rPr>
            </w:pPr>
            <w:bookmarkStart w:id="6" w:name="_Hlk516236804"/>
          </w:p>
        </w:tc>
        <w:tc>
          <w:tcPr>
            <w:tcW w:w="3403" w:type="dxa"/>
            <w:tcBorders>
              <w:left w:val="nil"/>
              <w:bottom w:val="nil"/>
              <w:right w:val="single" w:sz="16" w:space="0" w:color="000000"/>
            </w:tcBorders>
            <w:shd w:val="clear" w:color="auto" w:fill="FFFFFF"/>
            <w:tcMar>
              <w:top w:w="30" w:type="dxa"/>
              <w:left w:w="30" w:type="dxa"/>
              <w:bottom w:w="30" w:type="dxa"/>
              <w:right w:w="30" w:type="dxa"/>
            </w:tcMar>
          </w:tcPr>
          <w:p w14:paraId="7899DCE5" w14:textId="6F809F2E" w:rsidR="00757780" w:rsidRPr="00757780" w:rsidRDefault="00757780" w:rsidP="00757780">
            <w:pPr>
              <w:widowControl w:val="0"/>
              <w:autoSpaceDE w:val="0"/>
              <w:autoSpaceDN w:val="0"/>
              <w:adjustRightInd w:val="0"/>
              <w:spacing w:after="0" w:line="320" w:lineRule="atLeast"/>
              <w:rPr>
                <w:rFonts w:ascii="Arial" w:eastAsia="Times New Roman" w:hAnsi="Arial" w:cs="Arial"/>
                <w:color w:val="000000"/>
                <w:sz w:val="16"/>
                <w:szCs w:val="16"/>
              </w:rPr>
            </w:pPr>
            <w:r w:rsidRPr="00757780">
              <w:rPr>
                <w:rFonts w:ascii="Arial" w:eastAsia="Times New Roman" w:hAnsi="Arial" w:cs="Arial"/>
                <w:color w:val="000000"/>
                <w:sz w:val="16"/>
                <w:szCs w:val="16"/>
              </w:rPr>
              <w:t>Lidocaine</w:t>
            </w:r>
            <w:r w:rsidR="006D17CD" w:rsidRPr="001A1A2A">
              <w:rPr>
                <w:rFonts w:ascii="Arial" w:eastAsia="Times New Roman" w:hAnsi="Arial" w:cs="Arial"/>
                <w:color w:val="000000"/>
                <w:sz w:val="16"/>
                <w:szCs w:val="16"/>
              </w:rPr>
              <w:t xml:space="preserve"> group</w:t>
            </w:r>
          </w:p>
        </w:tc>
        <w:tc>
          <w:tcPr>
            <w:tcW w:w="1114" w:type="dxa"/>
            <w:tcBorders>
              <w:left w:val="single" w:sz="16" w:space="0" w:color="000000"/>
              <w:bottom w:val="nil"/>
            </w:tcBorders>
            <w:shd w:val="clear" w:color="auto" w:fill="FFFFFF"/>
            <w:tcMar>
              <w:top w:w="30" w:type="dxa"/>
              <w:left w:w="30" w:type="dxa"/>
              <w:bottom w:w="30" w:type="dxa"/>
              <w:right w:w="30" w:type="dxa"/>
            </w:tcMar>
            <w:vAlign w:val="center"/>
          </w:tcPr>
          <w:p w14:paraId="41BC25B7"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25</w:t>
            </w:r>
          </w:p>
        </w:tc>
        <w:tc>
          <w:tcPr>
            <w:tcW w:w="1112" w:type="dxa"/>
            <w:tcBorders>
              <w:bottom w:val="nil"/>
            </w:tcBorders>
            <w:shd w:val="clear" w:color="auto" w:fill="FFFFFF"/>
            <w:tcMar>
              <w:top w:w="30" w:type="dxa"/>
              <w:left w:w="30" w:type="dxa"/>
              <w:bottom w:w="30" w:type="dxa"/>
              <w:right w:w="30" w:type="dxa"/>
            </w:tcMar>
            <w:vAlign w:val="center"/>
          </w:tcPr>
          <w:p w14:paraId="69FFC64E"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45.88</w:t>
            </w:r>
          </w:p>
        </w:tc>
        <w:tc>
          <w:tcPr>
            <w:tcW w:w="1575" w:type="dxa"/>
            <w:tcBorders>
              <w:bottom w:val="nil"/>
            </w:tcBorders>
            <w:shd w:val="clear" w:color="auto" w:fill="FFFFFF"/>
            <w:tcMar>
              <w:top w:w="30" w:type="dxa"/>
              <w:left w:w="30" w:type="dxa"/>
              <w:bottom w:w="30" w:type="dxa"/>
              <w:right w:w="30" w:type="dxa"/>
            </w:tcMar>
            <w:vAlign w:val="center"/>
          </w:tcPr>
          <w:p w14:paraId="14677C99"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±19.404</w:t>
            </w:r>
          </w:p>
        </w:tc>
        <w:tc>
          <w:tcPr>
            <w:tcW w:w="1605" w:type="dxa"/>
            <w:tcBorders>
              <w:bottom w:val="nil"/>
              <w:right w:val="single" w:sz="16" w:space="0" w:color="000000"/>
            </w:tcBorders>
            <w:shd w:val="clear" w:color="auto" w:fill="FFFFFF"/>
            <w:tcMar>
              <w:top w:w="30" w:type="dxa"/>
              <w:left w:w="30" w:type="dxa"/>
              <w:bottom w:w="30" w:type="dxa"/>
              <w:right w:w="30" w:type="dxa"/>
            </w:tcMar>
            <w:vAlign w:val="center"/>
          </w:tcPr>
          <w:p w14:paraId="6123C063"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&lt;0.001</w:t>
            </w:r>
          </w:p>
        </w:tc>
      </w:tr>
      <w:tr w:rsidR="00757780" w:rsidRPr="00757780" w14:paraId="35978970" w14:textId="77777777" w:rsidTr="00D83908">
        <w:trPr>
          <w:cantSplit/>
          <w:trHeight w:val="20"/>
        </w:trPr>
        <w:tc>
          <w:tcPr>
            <w:tcW w:w="36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7DC33870" w14:textId="77777777" w:rsidR="00757780" w:rsidRPr="00757780" w:rsidRDefault="00757780" w:rsidP="00757780">
            <w:pPr>
              <w:widowControl w:val="0"/>
              <w:autoSpaceDE w:val="0"/>
              <w:autoSpaceDN w:val="0"/>
              <w:adjustRightInd w:val="0"/>
              <w:spacing w:after="0" w:line="240" w:lineRule="auto"/>
              <w:rPr>
                <w:rFonts w:ascii="Arial" w:eastAsia="Times New Roman" w:hAnsi="Arial" w:cs="Arial"/>
                <w:color w:val="000000"/>
                <w:sz w:val="16"/>
                <w:szCs w:val="16"/>
              </w:rPr>
            </w:pPr>
            <w:bookmarkStart w:id="7" w:name="_Hlk516236865"/>
            <w:bookmarkEnd w:id="6"/>
          </w:p>
        </w:tc>
        <w:tc>
          <w:tcPr>
            <w:tcW w:w="340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45592935" w14:textId="119C5A7F" w:rsidR="00757780" w:rsidRPr="00757780" w:rsidRDefault="00757780" w:rsidP="00757780">
            <w:pPr>
              <w:widowControl w:val="0"/>
              <w:autoSpaceDE w:val="0"/>
              <w:autoSpaceDN w:val="0"/>
              <w:adjustRightInd w:val="0"/>
              <w:spacing w:after="0" w:line="320" w:lineRule="atLeast"/>
              <w:rPr>
                <w:rFonts w:ascii="Arial" w:eastAsia="Times New Roman" w:hAnsi="Arial" w:cs="Arial"/>
                <w:color w:val="000000"/>
                <w:sz w:val="16"/>
                <w:szCs w:val="16"/>
              </w:rPr>
            </w:pPr>
            <w:r w:rsidRPr="00757780">
              <w:rPr>
                <w:rFonts w:ascii="Arial" w:eastAsia="Times New Roman" w:hAnsi="Arial" w:cs="Arial"/>
                <w:color w:val="000000"/>
                <w:sz w:val="16"/>
                <w:szCs w:val="16"/>
              </w:rPr>
              <w:t>Fentanyl</w:t>
            </w:r>
            <w:r w:rsidR="006D17CD" w:rsidRPr="001A1A2A">
              <w:rPr>
                <w:rFonts w:ascii="Arial" w:eastAsia="Times New Roman" w:hAnsi="Arial" w:cs="Arial"/>
                <w:color w:val="000000"/>
                <w:sz w:val="16"/>
                <w:szCs w:val="16"/>
              </w:rPr>
              <w:t xml:space="preserve"> group</w:t>
            </w:r>
          </w:p>
        </w:tc>
        <w:tc>
          <w:tcPr>
            <w:tcW w:w="111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088EAE4C"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25</w:t>
            </w:r>
          </w:p>
        </w:tc>
        <w:tc>
          <w:tcPr>
            <w:tcW w:w="1112" w:type="dxa"/>
            <w:tcBorders>
              <w:top w:val="nil"/>
              <w:bottom w:val="single" w:sz="16" w:space="0" w:color="000000"/>
            </w:tcBorders>
            <w:shd w:val="clear" w:color="auto" w:fill="FFFFFF"/>
            <w:tcMar>
              <w:top w:w="30" w:type="dxa"/>
              <w:left w:w="30" w:type="dxa"/>
              <w:bottom w:w="30" w:type="dxa"/>
              <w:right w:w="30" w:type="dxa"/>
            </w:tcMar>
            <w:vAlign w:val="center"/>
          </w:tcPr>
          <w:p w14:paraId="64C15D7E" w14:textId="77777777"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14.64</w:t>
            </w:r>
          </w:p>
        </w:tc>
        <w:tc>
          <w:tcPr>
            <w:tcW w:w="1575" w:type="dxa"/>
            <w:tcBorders>
              <w:top w:val="nil"/>
              <w:bottom w:val="single" w:sz="16" w:space="0" w:color="000000"/>
            </w:tcBorders>
            <w:shd w:val="clear" w:color="auto" w:fill="FFFFFF"/>
            <w:tcMar>
              <w:top w:w="30" w:type="dxa"/>
              <w:left w:w="30" w:type="dxa"/>
              <w:bottom w:w="30" w:type="dxa"/>
              <w:right w:w="30" w:type="dxa"/>
            </w:tcMar>
            <w:vAlign w:val="center"/>
          </w:tcPr>
          <w:p w14:paraId="692C9A57" w14:textId="1E41C94C" w:rsidR="00757780" w:rsidRPr="00757780" w:rsidRDefault="00757780" w:rsidP="00757780">
            <w:pPr>
              <w:widowControl w:val="0"/>
              <w:autoSpaceDE w:val="0"/>
              <w:autoSpaceDN w:val="0"/>
              <w:adjustRightInd w:val="0"/>
              <w:spacing w:after="0" w:line="320" w:lineRule="atLeast"/>
              <w:jc w:val="right"/>
              <w:rPr>
                <w:rFonts w:ascii="Arial" w:eastAsia="Times New Roman" w:hAnsi="Arial" w:cs="Arial"/>
                <w:color w:val="000000"/>
                <w:sz w:val="16"/>
                <w:szCs w:val="16"/>
              </w:rPr>
            </w:pPr>
            <w:r w:rsidRPr="00757780">
              <w:rPr>
                <w:rFonts w:ascii="Arial" w:eastAsia="Times New Roman" w:hAnsi="Arial" w:cs="Arial"/>
                <w:color w:val="000000"/>
                <w:sz w:val="16"/>
                <w:szCs w:val="16"/>
              </w:rPr>
              <w:t>±4.281</w:t>
            </w:r>
          </w:p>
        </w:tc>
        <w:tc>
          <w:tcPr>
            <w:tcW w:w="160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6F29E733" w14:textId="77777777" w:rsidR="00757780" w:rsidRPr="00757780" w:rsidRDefault="00757780" w:rsidP="00757780">
            <w:pPr>
              <w:widowControl w:val="0"/>
              <w:autoSpaceDE w:val="0"/>
              <w:autoSpaceDN w:val="0"/>
              <w:adjustRightInd w:val="0"/>
              <w:spacing w:after="0" w:line="320" w:lineRule="atLeast"/>
              <w:jc w:val="center"/>
              <w:rPr>
                <w:rFonts w:ascii="Arial" w:eastAsia="Times New Roman" w:hAnsi="Arial" w:cs="Arial"/>
                <w:color w:val="000000"/>
                <w:sz w:val="16"/>
                <w:szCs w:val="16"/>
              </w:rPr>
            </w:pPr>
          </w:p>
        </w:tc>
      </w:tr>
    </w:tbl>
    <w:bookmarkEnd w:id="7"/>
    <w:p w14:paraId="1225BC05" w14:textId="4CAAC1B0" w:rsidR="00D83908" w:rsidRDefault="00A265AE" w:rsidP="00D83908">
      <w:pPr>
        <w:rPr>
          <w:rFonts w:ascii="Calibri" w:eastAsia="Calibri" w:hAnsi="Calibri" w:cs="Arial"/>
        </w:rPr>
      </w:pPr>
      <w:r>
        <w:rPr>
          <w:rFonts w:ascii="Calibri" w:eastAsia="Calibri" w:hAnsi="Calibri" w:cs="Arial"/>
        </w:rPr>
        <w:t>Time required for the first analgesic dose shows shorter time on the fentanyl group (</w:t>
      </w:r>
      <w:r w:rsidRPr="00A265AE">
        <w:rPr>
          <w:rFonts w:ascii="Calibri" w:eastAsia="Calibri" w:hAnsi="Calibri" w:cs="Arial"/>
        </w:rPr>
        <w:t>14.64</w:t>
      </w:r>
      <w:r>
        <w:rPr>
          <w:rFonts w:ascii="Calibri" w:eastAsia="Calibri" w:hAnsi="Calibri" w:cs="Arial"/>
        </w:rPr>
        <w:t xml:space="preserve"> </w:t>
      </w:r>
      <w:r w:rsidRPr="00A265AE">
        <w:rPr>
          <w:rFonts w:ascii="Calibri" w:eastAsia="Calibri" w:hAnsi="Calibri" w:cs="Arial"/>
        </w:rPr>
        <w:t>±4.281</w:t>
      </w:r>
      <w:r>
        <w:rPr>
          <w:rFonts w:ascii="Calibri" w:eastAsia="Calibri" w:hAnsi="Calibri" w:cs="Arial"/>
        </w:rPr>
        <w:t xml:space="preserve">) in comparison to the lidocaine group (  </w:t>
      </w:r>
      <w:r w:rsidRPr="00A265AE">
        <w:rPr>
          <w:rFonts w:ascii="Calibri" w:eastAsia="Calibri" w:hAnsi="Calibri" w:cs="Arial"/>
        </w:rPr>
        <w:t>45.88</w:t>
      </w:r>
      <w:r>
        <w:rPr>
          <w:rFonts w:ascii="Calibri" w:eastAsia="Calibri" w:hAnsi="Calibri" w:cs="Arial"/>
        </w:rPr>
        <w:t xml:space="preserve"> </w:t>
      </w:r>
      <w:r w:rsidRPr="00A265AE">
        <w:rPr>
          <w:rFonts w:ascii="Calibri" w:eastAsia="Calibri" w:hAnsi="Calibri" w:cs="Arial"/>
        </w:rPr>
        <w:t>±19.404</w:t>
      </w:r>
      <w:r>
        <w:rPr>
          <w:rFonts w:ascii="Calibri" w:eastAsia="Calibri" w:hAnsi="Calibri" w:cs="Arial"/>
        </w:rPr>
        <w:t>), with significant difference of P value</w:t>
      </w:r>
      <w:r w:rsidRPr="00757780">
        <w:rPr>
          <w:rFonts w:ascii="Arial" w:eastAsia="Times New Roman" w:hAnsi="Arial" w:cs="Arial"/>
          <w:color w:val="000000"/>
          <w:sz w:val="16"/>
          <w:szCs w:val="16"/>
        </w:rPr>
        <w:t>&lt;0.001</w:t>
      </w:r>
      <w:r w:rsidR="00D83908">
        <w:rPr>
          <w:rFonts w:ascii="Arial" w:eastAsia="Times New Roman" w:hAnsi="Arial" w:cs="Arial"/>
          <w:color w:val="000000"/>
          <w:sz w:val="16"/>
          <w:szCs w:val="16"/>
        </w:rPr>
        <w:t>.</w:t>
      </w:r>
    </w:p>
    <w:p w14:paraId="785F78C3" w14:textId="6E641FD2" w:rsidR="00965C13" w:rsidRPr="00D83908" w:rsidRDefault="00965C13" w:rsidP="00D83908">
      <w:pPr>
        <w:rPr>
          <w:rFonts w:ascii="Calibri" w:eastAsia="Calibri" w:hAnsi="Calibri" w:cs="Arial"/>
        </w:rPr>
      </w:pPr>
      <w:r w:rsidRPr="00854942">
        <w:rPr>
          <w:b/>
          <w:bCs/>
          <w:i/>
          <w:iCs/>
          <w:u w:val="single"/>
        </w:rPr>
        <w:t>Discussion</w:t>
      </w:r>
      <w:r w:rsidR="00854942" w:rsidRPr="00854942">
        <w:rPr>
          <w:b/>
          <w:bCs/>
          <w:i/>
          <w:iCs/>
          <w:u w:val="single"/>
        </w:rPr>
        <w:t xml:space="preserve"> ( main paper)</w:t>
      </w:r>
    </w:p>
    <w:p w14:paraId="28D9F927" w14:textId="5BA97A54" w:rsidR="00AB6C7A" w:rsidRPr="00AB6C7A" w:rsidRDefault="00CE0AE5" w:rsidP="00AB6C7A">
      <w:pPr>
        <w:spacing w:line="360" w:lineRule="auto"/>
        <w:rPr>
          <w:color w:val="FF0000"/>
        </w:rPr>
      </w:pPr>
      <w:r>
        <w:t>Intravenous lidocaine has been shown to be analgesic</w:t>
      </w:r>
      <w:r w:rsidR="00B003A5">
        <w:t xml:space="preserve"> </w:t>
      </w:r>
      <w:r>
        <w:t>and anti-inflammatory</w:t>
      </w:r>
      <w:r w:rsidRPr="00CE0AE5">
        <w:t xml:space="preserve"> </w:t>
      </w:r>
      <w:r w:rsidR="00B003A5">
        <w:t xml:space="preserve">medication </w:t>
      </w:r>
      <w:r>
        <w:t xml:space="preserve">with modulation of excessive inflammatory response. </w:t>
      </w:r>
      <w:r w:rsidR="000F60DB" w:rsidRPr="000F60DB">
        <w:t>These properties are mediated by a variety of mechanisms, including sodium channel blockade,20 as well as inh</w:t>
      </w:r>
      <w:r w:rsidR="00B003A5">
        <w:t>1</w:t>
      </w:r>
      <w:r w:rsidR="000F60DB" w:rsidRPr="000F60DB">
        <w:t>ibition of G protein–coupled receptors20,29 and N-methyl-D-aspartate receptors.30,31</w:t>
      </w:r>
      <w:r w:rsidR="000F60DB" w:rsidRPr="000F60DB">
        <w:rPr>
          <w:color w:val="FF0000"/>
        </w:rPr>
        <w:t>paper 2</w:t>
      </w:r>
      <w:r>
        <w:t>The effect is thought to reflect the inhibition of primary evoked polysynaptic reflexes in the spinal dorsal horn mediated by a variety of mechanisms including sodium channel blockade.13</w:t>
      </w:r>
      <w:r>
        <w:rPr>
          <w:color w:val="FF0000"/>
        </w:rPr>
        <w:t>paper 1</w:t>
      </w:r>
      <w:r w:rsidR="00A92C8E">
        <w:rPr>
          <w:color w:val="FF0000"/>
        </w:rPr>
        <w:t xml:space="preserve"> </w:t>
      </w:r>
      <w:r w:rsidR="00AB6C7A" w:rsidRPr="00AB6C7A">
        <w:rPr>
          <w:color w:val="FF0000"/>
        </w:rPr>
        <w:t>13 Pypendop BH, Ilkiw JE. The effects of intravenous lidocaine administration on the minimum alveolar concentration of isoflurane in cats. Anesth Analg 2005; 100: 97–101.</w:t>
      </w:r>
    </w:p>
    <w:p w14:paraId="44BBC0EB" w14:textId="08E65F1B" w:rsidR="00CE0AE5" w:rsidRDefault="00CE0AE5" w:rsidP="00CE0AE5">
      <w:pPr>
        <w:spacing w:line="360" w:lineRule="auto"/>
      </w:pPr>
      <w:r>
        <w:t>The possible anti-inflammatory mechanism for accelerating bowel function has been proposed, and more specifically lidocaine seems to target different steps within the inflammatory cascade, the increase in complement and pro-inflammatory cytokines.</w:t>
      </w:r>
      <w:r w:rsidRPr="00CE0AE5">
        <w:t xml:space="preserve"> </w:t>
      </w:r>
      <w:r>
        <w:t xml:space="preserve">This requires a revision of the implementation of This includes several modalities aimed at minimizing the metabolic stress, enhancing the anti-inflammatory response and maximizing perioperative analgesia. </w:t>
      </w:r>
    </w:p>
    <w:p w14:paraId="5061F190" w14:textId="4F7F2489" w:rsidR="00A92C8E" w:rsidRPr="00AB6C7A" w:rsidRDefault="00CE0AE5" w:rsidP="00A92C8E">
      <w:pPr>
        <w:spacing w:line="360" w:lineRule="auto"/>
        <w:rPr>
          <w:color w:val="FF0000"/>
        </w:rPr>
      </w:pPr>
      <w:r>
        <w:t xml:space="preserve">14,15 </w:t>
      </w:r>
      <w:r>
        <w:rPr>
          <w:color w:val="FF0000"/>
        </w:rPr>
        <w:t>paper 1</w:t>
      </w:r>
      <w:r w:rsidR="00A92C8E">
        <w:rPr>
          <w:color w:val="FF0000"/>
        </w:rPr>
        <w:t xml:space="preserve"> </w:t>
      </w:r>
      <w:r w:rsidR="00A92C8E" w:rsidRPr="00AB6C7A">
        <w:rPr>
          <w:color w:val="FF0000"/>
        </w:rPr>
        <w:t>14 Hollmann MW, Gross A, Jelacin N, Durieux ME. Local anesthetic effects on priming and activation of human neutrophils. Anesthesiology 2001; 95: 113–22.</w:t>
      </w:r>
    </w:p>
    <w:p w14:paraId="587D06EA" w14:textId="77777777" w:rsidR="00A92C8E" w:rsidRPr="00CE0AE5" w:rsidRDefault="00A92C8E" w:rsidP="00A92C8E">
      <w:pPr>
        <w:spacing w:line="360" w:lineRule="auto"/>
      </w:pPr>
      <w:r w:rsidRPr="00AB6C7A">
        <w:rPr>
          <w:color w:val="FF0000"/>
        </w:rPr>
        <w:t>15 Herroeder S, Pecher S, Schonherr ME, et al. Systemic lidocaine shortens length of hospital stay after colorectal surgery: a double-blinded, randomized, placebo-controlled trial. Ann Surg 2007; 246: 192– 200.</w:t>
      </w:r>
    </w:p>
    <w:p w14:paraId="71E4CC57" w14:textId="77777777" w:rsidR="00CE0AE5" w:rsidRPr="00CE0AE5" w:rsidRDefault="00CE0AE5" w:rsidP="00CE0AE5">
      <w:pPr>
        <w:spacing w:line="360" w:lineRule="auto"/>
        <w:rPr>
          <w:color w:val="FF0000"/>
        </w:rPr>
      </w:pPr>
    </w:p>
    <w:p w14:paraId="71800A28" w14:textId="41C5C27B" w:rsidR="00854942" w:rsidRDefault="00854942" w:rsidP="00B003A5">
      <w:pPr>
        <w:spacing w:line="360" w:lineRule="auto"/>
      </w:pPr>
      <w:r w:rsidRPr="00854942">
        <w:t>The results of this study indicate that, in presence of low</w:t>
      </w:r>
      <w:r w:rsidR="0039225F">
        <w:t xml:space="preserve"> dose intraoperative opioid, and </w:t>
      </w:r>
      <w:r w:rsidRPr="00854942">
        <w:t>intravenous infusion of lidocaine</w:t>
      </w:r>
      <w:r>
        <w:t xml:space="preserve"> 2%</w:t>
      </w:r>
      <w:r w:rsidRPr="00854942">
        <w:t xml:space="preserve"> </w:t>
      </w:r>
      <w:r>
        <w:t>impacts on postoperative analgesia by decreasing the postoperative requirements of fentanyl in th</w:t>
      </w:r>
      <w:r w:rsidR="00CE0AE5">
        <w:t>e recovery unit</w:t>
      </w:r>
      <w:r w:rsidR="00D15B56">
        <w:t xml:space="preserve">, the total </w:t>
      </w:r>
      <w:r w:rsidR="001C30F6">
        <w:t>opioid</w:t>
      </w:r>
      <w:r w:rsidR="0039225F">
        <w:t xml:space="preserve"> consumption in the recovery </w:t>
      </w:r>
      <w:r>
        <w:t>was found to pro</w:t>
      </w:r>
      <w:r w:rsidRPr="00854942">
        <w:t>vide a significant</w:t>
      </w:r>
      <w:r w:rsidR="0039225F">
        <w:t xml:space="preserve"> difference between the two groups where the fentanyl group consumed ( </w:t>
      </w:r>
      <w:r w:rsidR="00B96713" w:rsidRPr="00B96713">
        <w:t>116.9</w:t>
      </w:r>
      <w:r w:rsidR="00B96713">
        <w:t xml:space="preserve"> </w:t>
      </w:r>
      <w:r w:rsidR="00B96713" w:rsidRPr="00B96713">
        <w:t>±37.92</w:t>
      </w:r>
      <w:r w:rsidR="00B96713">
        <w:t xml:space="preserve"> ug of fentanyl</w:t>
      </w:r>
      <w:r w:rsidR="0039225F">
        <w:t xml:space="preserve">) and the lidocaine group consumed ( </w:t>
      </w:r>
      <w:r w:rsidR="00B96713" w:rsidRPr="00B96713">
        <w:t>26.00</w:t>
      </w:r>
      <w:r w:rsidR="00B96713">
        <w:t xml:space="preserve"> </w:t>
      </w:r>
      <w:r w:rsidR="00B96713" w:rsidRPr="00B96713">
        <w:t>±</w:t>
      </w:r>
      <w:r w:rsidR="00B96713">
        <w:t xml:space="preserve"> </w:t>
      </w:r>
      <w:r w:rsidR="00B96713" w:rsidRPr="00B96713">
        <w:t>43.87</w:t>
      </w:r>
      <w:r w:rsidR="00B96713">
        <w:t xml:space="preserve"> ug</w:t>
      </w:r>
      <w:r w:rsidR="0039225F">
        <w:t xml:space="preserve"> </w:t>
      </w:r>
      <w:r w:rsidR="00B96713">
        <w:t>of fentanyl</w:t>
      </w:r>
      <w:r w:rsidR="0039225F">
        <w:t>)  and these results corresponds to the result of paper 1</w:t>
      </w:r>
      <w:r w:rsidR="00113386">
        <w:t xml:space="preserve"> ( Severine etal,2008 </w:t>
      </w:r>
      <w:r w:rsidR="0039225F">
        <w:t>and paper 3</w:t>
      </w:r>
      <w:r w:rsidR="00113386">
        <w:t xml:space="preserve"> ( BK Baral etal, 2010)</w:t>
      </w:r>
      <w:r w:rsidR="0039225F">
        <w:t xml:space="preserve">. </w:t>
      </w:r>
      <w:r>
        <w:t xml:space="preserve">No differences </w:t>
      </w:r>
      <w:r w:rsidR="00A56DFA">
        <w:t xml:space="preserve">in self-reported pain scores </w:t>
      </w:r>
      <w:r>
        <w:t>were observ</w:t>
      </w:r>
      <w:r w:rsidR="00FA1DDA">
        <w:t>ed between the two groups</w:t>
      </w:r>
      <w:r w:rsidR="00113386">
        <w:t xml:space="preserve"> within the first</w:t>
      </w:r>
      <w:r w:rsidR="00FA1DDA">
        <w:t xml:space="preserve"> 24 hour </w:t>
      </w:r>
      <w:r>
        <w:t>after surgery,</w:t>
      </w:r>
      <w:r w:rsidR="00A56DFA">
        <w:t xml:space="preserve"> regarding PCA demand and supply no significant differences between the two groups</w:t>
      </w:r>
      <w:r w:rsidR="0039225F">
        <w:t xml:space="preserve">. </w:t>
      </w:r>
    </w:p>
    <w:p w14:paraId="581297BE" w14:textId="00684214" w:rsidR="00E4568A" w:rsidRDefault="0039225F" w:rsidP="000A1F5B">
      <w:pPr>
        <w:spacing w:line="360" w:lineRule="auto"/>
      </w:pPr>
      <w:r>
        <w:t>The time required for the first analgesic in the recovery showed significant difference between the two groups, first analgesic dose in the fentanyl group was after</w:t>
      </w:r>
      <w:r w:rsidR="00C95DB8">
        <w:t xml:space="preserve"> (</w:t>
      </w:r>
      <w:r w:rsidR="00C95DB8" w:rsidRPr="00C95DB8">
        <w:t>14.6</w:t>
      </w:r>
      <w:r w:rsidR="00C95DB8">
        <w:t xml:space="preserve"> </w:t>
      </w:r>
      <w:r w:rsidR="00C95DB8" w:rsidRPr="00C95DB8">
        <w:t>±</w:t>
      </w:r>
      <w:r w:rsidR="00C95DB8">
        <w:t xml:space="preserve"> </w:t>
      </w:r>
      <w:r w:rsidR="00C95DB8" w:rsidRPr="00C95DB8">
        <w:t>4.281</w:t>
      </w:r>
      <w:r w:rsidR="00C95DB8">
        <w:t xml:space="preserve"> minutes)</w:t>
      </w:r>
      <w:r>
        <w:t xml:space="preserve"> in comparison to lidocaine group which took the first dose after ( </w:t>
      </w:r>
      <w:r w:rsidR="00C95DB8" w:rsidRPr="00C95DB8">
        <w:t>45.88</w:t>
      </w:r>
      <w:r w:rsidR="00C95DB8">
        <w:t xml:space="preserve"> </w:t>
      </w:r>
      <w:r w:rsidR="00C95DB8" w:rsidRPr="00C95DB8">
        <w:t>±</w:t>
      </w:r>
      <w:r w:rsidR="00C95DB8">
        <w:t xml:space="preserve"> </w:t>
      </w:r>
      <w:r w:rsidR="00C95DB8" w:rsidRPr="00C95DB8">
        <w:t>19.404</w:t>
      </w:r>
      <w:r w:rsidR="00C95DB8">
        <w:t xml:space="preserve"> minutes</w:t>
      </w:r>
      <w:r>
        <w:t>) this corresponds to the results of paper 3</w:t>
      </w:r>
      <w:r w:rsidR="00C95DB8">
        <w:t xml:space="preserve"> (BK Baral etal, 2010)</w:t>
      </w:r>
      <w:r>
        <w:t xml:space="preserve"> that compare the usage of lidocaine intr</w:t>
      </w:r>
      <w:r w:rsidR="00101342">
        <w:t>a</w:t>
      </w:r>
      <w:r>
        <w:t>operative to saline in decreasing postoperative pain killers as diclofenac to relief postoperative pain, patient received  intr</w:t>
      </w:r>
      <w:r w:rsidR="00101342">
        <w:t>a</w:t>
      </w:r>
      <w:r>
        <w:t xml:space="preserve">operative lidocaine infusion prolonged the time required for the first analgesic dose. </w:t>
      </w:r>
    </w:p>
    <w:p w14:paraId="5C542D90" w14:textId="66B635F4" w:rsidR="00371B1D" w:rsidRDefault="00E4568A" w:rsidP="000A1F5B">
      <w:pPr>
        <w:spacing w:line="360" w:lineRule="auto"/>
      </w:pPr>
      <w:r>
        <w:t>Regarding inhalational gas requirements, lidocaine group showed decrease in consumption by 25% in comparison to the control group. This observation is</w:t>
      </w:r>
      <w:r w:rsidR="00EC2C6C">
        <w:t xml:space="preserve"> </w:t>
      </w:r>
      <w:r>
        <w:t>in</w:t>
      </w:r>
      <w:r w:rsidR="00EC2C6C">
        <w:t xml:space="preserve"> </w:t>
      </w:r>
      <w:r>
        <w:t>agreement with</w:t>
      </w:r>
      <w:r w:rsidR="00EC2C6C">
        <w:t xml:space="preserve"> </w:t>
      </w:r>
      <w:r w:rsidR="00EC2C6C" w:rsidRPr="00EC2C6C">
        <w:t>( Severine etal,2008 and paper 3 ( BK Baral etal, 2010)</w:t>
      </w:r>
      <w:r w:rsidR="00EC2C6C">
        <w:t xml:space="preserve"> </w:t>
      </w:r>
      <w:r>
        <w:t xml:space="preserve">which report a reduction in the concentration of inhalational agents with concurrent infusion of lidocaine but by different percentages than our study. </w:t>
      </w:r>
      <w:r w:rsidR="009C78DF">
        <w:t>According to</w:t>
      </w:r>
      <w:r>
        <w:t xml:space="preserve"> paper 4</w:t>
      </w:r>
      <w:r w:rsidR="009C78DF">
        <w:t xml:space="preserve"> (Philip etal,2012)</w:t>
      </w:r>
      <w:r>
        <w:t xml:space="preserve"> no changes</w:t>
      </w:r>
      <w:r w:rsidR="009C78DF">
        <w:t xml:space="preserve"> between the two groups</w:t>
      </w:r>
      <w:r>
        <w:t xml:space="preserve"> except </w:t>
      </w:r>
      <w:r w:rsidR="009C78DF">
        <w:t xml:space="preserve">with </w:t>
      </w:r>
      <w:r>
        <w:t>intubation.</w:t>
      </w:r>
    </w:p>
    <w:p w14:paraId="2464C97A" w14:textId="4C8E68F9" w:rsidR="00855DFC" w:rsidRDefault="00003229" w:rsidP="000A1F5B">
      <w:pPr>
        <w:spacing w:line="360" w:lineRule="auto"/>
        <w:jc w:val="both"/>
      </w:pPr>
      <w:r>
        <w:t>Regarding hemodynamics</w:t>
      </w:r>
      <w:r w:rsidR="00FA1DDA">
        <w:t>,</w:t>
      </w:r>
      <w:r>
        <w:t xml:space="preserve"> the lidocaine group </w:t>
      </w:r>
      <w:r w:rsidR="009C78DF">
        <w:t xml:space="preserve">showed </w:t>
      </w:r>
      <w:r>
        <w:t>more control with heart rate and mean bloo</w:t>
      </w:r>
      <w:r w:rsidR="00E4568A">
        <w:t>d pressure with less fluctuations than the fentanyl group</w:t>
      </w:r>
      <w:r w:rsidR="009C78DF">
        <w:t xml:space="preserve"> which showed increase in postoperative heart rate and mean blood pressure due to pain and controlled by intravenous fentanyl postoperatively with significant difference of P value </w:t>
      </w:r>
      <w:r w:rsidR="009C78DF" w:rsidRPr="009C78DF">
        <w:t>&lt;0.001</w:t>
      </w:r>
      <w:r w:rsidR="009C78DF">
        <w:t>.</w:t>
      </w:r>
      <w:r w:rsidR="006F27F4">
        <w:t xml:space="preserve"> the </w:t>
      </w:r>
      <w:r w:rsidR="008D5478">
        <w:t xml:space="preserve">postoperative </w:t>
      </w:r>
      <w:r w:rsidR="006F27F4">
        <w:t xml:space="preserve">pain detected by pain numerical score, the aim of our study to keep </w:t>
      </w:r>
      <w:r w:rsidR="008D5478">
        <w:t xml:space="preserve">numerical pain score less than 4. There was significant difference between with P value </w:t>
      </w:r>
      <w:r w:rsidR="008D5478" w:rsidRPr="008D5478">
        <w:t>&lt;0.001</w:t>
      </w:r>
      <w:r w:rsidR="008D5478">
        <w:t xml:space="preserve"> between the two groups, the fentanyl group showed more pain than the lidocaine group.</w:t>
      </w:r>
    </w:p>
    <w:sectPr w:rsidR="00855DFC" w:rsidSect="00C916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3977EA"/>
    <w:multiLevelType w:val="hybridMultilevel"/>
    <w:tmpl w:val="57608E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D5B"/>
    <w:rsid w:val="00002BEC"/>
    <w:rsid w:val="00003229"/>
    <w:rsid w:val="00031062"/>
    <w:rsid w:val="000758E7"/>
    <w:rsid w:val="000A02B4"/>
    <w:rsid w:val="000A1F5B"/>
    <w:rsid w:val="000C335F"/>
    <w:rsid w:val="000F5294"/>
    <w:rsid w:val="000F60DB"/>
    <w:rsid w:val="00101342"/>
    <w:rsid w:val="00113386"/>
    <w:rsid w:val="0011430B"/>
    <w:rsid w:val="00156CAC"/>
    <w:rsid w:val="00180705"/>
    <w:rsid w:val="001A1A2A"/>
    <w:rsid w:val="001A5DAB"/>
    <w:rsid w:val="001B4B2D"/>
    <w:rsid w:val="001C30F6"/>
    <w:rsid w:val="001D54F2"/>
    <w:rsid w:val="001F7734"/>
    <w:rsid w:val="00244FE2"/>
    <w:rsid w:val="0025096B"/>
    <w:rsid w:val="002A0274"/>
    <w:rsid w:val="002B339D"/>
    <w:rsid w:val="00311EBB"/>
    <w:rsid w:val="0032382A"/>
    <w:rsid w:val="00337AE6"/>
    <w:rsid w:val="00360002"/>
    <w:rsid w:val="003706F4"/>
    <w:rsid w:val="00371B1D"/>
    <w:rsid w:val="0038028E"/>
    <w:rsid w:val="0038113E"/>
    <w:rsid w:val="00390EC7"/>
    <w:rsid w:val="0039225F"/>
    <w:rsid w:val="003961B7"/>
    <w:rsid w:val="00415D5B"/>
    <w:rsid w:val="00462A9D"/>
    <w:rsid w:val="004947E0"/>
    <w:rsid w:val="004C78F5"/>
    <w:rsid w:val="004E14BF"/>
    <w:rsid w:val="00532698"/>
    <w:rsid w:val="005A5CF2"/>
    <w:rsid w:val="0062283A"/>
    <w:rsid w:val="00657AB5"/>
    <w:rsid w:val="006C0D6D"/>
    <w:rsid w:val="006C18BD"/>
    <w:rsid w:val="006C720C"/>
    <w:rsid w:val="006D17CD"/>
    <w:rsid w:val="006F27F4"/>
    <w:rsid w:val="00704428"/>
    <w:rsid w:val="00757780"/>
    <w:rsid w:val="00761EEF"/>
    <w:rsid w:val="0078529F"/>
    <w:rsid w:val="007A3CCC"/>
    <w:rsid w:val="007D78B9"/>
    <w:rsid w:val="0083132F"/>
    <w:rsid w:val="008345D6"/>
    <w:rsid w:val="00851639"/>
    <w:rsid w:val="00854942"/>
    <w:rsid w:val="00855DFC"/>
    <w:rsid w:val="008660F4"/>
    <w:rsid w:val="00877431"/>
    <w:rsid w:val="008D5478"/>
    <w:rsid w:val="008F2E0C"/>
    <w:rsid w:val="009110E7"/>
    <w:rsid w:val="00914462"/>
    <w:rsid w:val="00927B2F"/>
    <w:rsid w:val="00927F66"/>
    <w:rsid w:val="00965C13"/>
    <w:rsid w:val="00996BEA"/>
    <w:rsid w:val="009B2E1C"/>
    <w:rsid w:val="009C78DF"/>
    <w:rsid w:val="00A115F7"/>
    <w:rsid w:val="00A265AE"/>
    <w:rsid w:val="00A52813"/>
    <w:rsid w:val="00A53868"/>
    <w:rsid w:val="00A56DFA"/>
    <w:rsid w:val="00A63661"/>
    <w:rsid w:val="00A92C8E"/>
    <w:rsid w:val="00A9556F"/>
    <w:rsid w:val="00AB6C7A"/>
    <w:rsid w:val="00B003A5"/>
    <w:rsid w:val="00B4480A"/>
    <w:rsid w:val="00B9387E"/>
    <w:rsid w:val="00B96713"/>
    <w:rsid w:val="00BA1D72"/>
    <w:rsid w:val="00C1579E"/>
    <w:rsid w:val="00C543B6"/>
    <w:rsid w:val="00C916BD"/>
    <w:rsid w:val="00C95DB8"/>
    <w:rsid w:val="00CC63B5"/>
    <w:rsid w:val="00CD1B7F"/>
    <w:rsid w:val="00CD6CBD"/>
    <w:rsid w:val="00CE0AE5"/>
    <w:rsid w:val="00D15B56"/>
    <w:rsid w:val="00D554DE"/>
    <w:rsid w:val="00D83908"/>
    <w:rsid w:val="00D86A45"/>
    <w:rsid w:val="00D95BF6"/>
    <w:rsid w:val="00DB7AF9"/>
    <w:rsid w:val="00DD0D32"/>
    <w:rsid w:val="00DD1A31"/>
    <w:rsid w:val="00DD3AB4"/>
    <w:rsid w:val="00DD3CB5"/>
    <w:rsid w:val="00DE6A01"/>
    <w:rsid w:val="00E363E6"/>
    <w:rsid w:val="00E4568A"/>
    <w:rsid w:val="00E604BA"/>
    <w:rsid w:val="00E75CA9"/>
    <w:rsid w:val="00EA601C"/>
    <w:rsid w:val="00EC2C6C"/>
    <w:rsid w:val="00F02151"/>
    <w:rsid w:val="00F27380"/>
    <w:rsid w:val="00F41BCB"/>
    <w:rsid w:val="00F639A5"/>
    <w:rsid w:val="00F74A0E"/>
    <w:rsid w:val="00F81352"/>
    <w:rsid w:val="00F83E82"/>
    <w:rsid w:val="00FA1DDA"/>
    <w:rsid w:val="00FA3A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C881C"/>
  <w15:docId w15:val="{65FEEF9B-9619-4014-A603-EB957A9A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6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633</TotalTime>
  <Pages>6</Pages>
  <Words>2051</Words>
  <Characters>11695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osama</dc:creator>
  <cp:keywords/>
  <dc:description/>
  <cp:lastModifiedBy>Abdel-Latif, Ahmed</cp:lastModifiedBy>
  <cp:revision>48</cp:revision>
  <dcterms:created xsi:type="dcterms:W3CDTF">2017-10-02T07:29:00Z</dcterms:created>
  <dcterms:modified xsi:type="dcterms:W3CDTF">2018-07-28T18:08:00Z</dcterms:modified>
</cp:coreProperties>
</file>