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87C77" w14:textId="77777777" w:rsidR="003B208B" w:rsidRPr="002B2404" w:rsidRDefault="003B208B">
      <w:pPr>
        <w:rPr>
          <w:rFonts w:ascii="Calibri" w:hAnsi="Calibri"/>
          <w:b/>
          <w:sz w:val="36"/>
          <w:szCs w:val="28"/>
          <w:u w:val="single"/>
        </w:rPr>
      </w:pPr>
      <w:bookmarkStart w:id="0" w:name="_GoBack"/>
      <w:bookmarkEnd w:id="0"/>
    </w:p>
    <w:p w14:paraId="74CBC15C" w14:textId="77777777" w:rsidR="003B208B" w:rsidRPr="002B2404" w:rsidRDefault="003B208B">
      <w:pPr>
        <w:rPr>
          <w:rFonts w:ascii="Calibri" w:hAnsi="Calibri"/>
          <w:b/>
          <w:sz w:val="36"/>
          <w:szCs w:val="28"/>
          <w:u w:val="single"/>
        </w:rPr>
      </w:pPr>
    </w:p>
    <w:p w14:paraId="47C5E859" w14:textId="77777777" w:rsidR="003B208B" w:rsidRPr="002B2404" w:rsidRDefault="003B208B">
      <w:pPr>
        <w:rPr>
          <w:rFonts w:ascii="Calibri" w:hAnsi="Calibri"/>
          <w:b/>
          <w:sz w:val="36"/>
          <w:szCs w:val="28"/>
          <w:u w:val="single"/>
        </w:rPr>
      </w:pPr>
    </w:p>
    <w:p w14:paraId="0E6F76FA" w14:textId="73E98211" w:rsidR="003B208B" w:rsidRPr="002B2404" w:rsidRDefault="003B208B" w:rsidP="003B208B">
      <w:pPr>
        <w:jc w:val="center"/>
        <w:rPr>
          <w:rFonts w:ascii="Calibri" w:hAnsi="Calibri"/>
          <w:b/>
          <w:sz w:val="36"/>
          <w:szCs w:val="28"/>
        </w:rPr>
      </w:pPr>
      <w:r w:rsidRPr="002B2404">
        <w:rPr>
          <w:rFonts w:ascii="Calibri" w:hAnsi="Calibri"/>
          <w:b/>
          <w:sz w:val="32"/>
          <w:szCs w:val="28"/>
          <w:u w:val="single"/>
        </w:rPr>
        <w:t>STUDY PROTOCOL</w:t>
      </w:r>
      <w:r w:rsidRPr="002B2404">
        <w:rPr>
          <w:rFonts w:ascii="Calibri" w:hAnsi="Calibri"/>
          <w:b/>
          <w:sz w:val="36"/>
          <w:szCs w:val="28"/>
          <w:u w:val="single"/>
        </w:rPr>
        <w:br/>
      </w:r>
      <w:r w:rsidRPr="002B2404">
        <w:rPr>
          <w:rFonts w:ascii="Calibri" w:hAnsi="Calibri"/>
          <w:b/>
          <w:sz w:val="36"/>
          <w:szCs w:val="28"/>
          <w:u w:val="single"/>
        </w:rPr>
        <w:br/>
      </w:r>
    </w:p>
    <w:p w14:paraId="653403B9" w14:textId="77777777" w:rsidR="003B208B" w:rsidRPr="00D94C91" w:rsidRDefault="003B208B">
      <w:pPr>
        <w:rPr>
          <w:rFonts w:ascii="Calibri" w:hAnsi="Calibri"/>
          <w:b/>
          <w:sz w:val="36"/>
          <w:szCs w:val="28"/>
          <w:u w:val="single"/>
        </w:rPr>
      </w:pPr>
    </w:p>
    <w:p w14:paraId="177FC52C" w14:textId="631F460F" w:rsidR="003B208B" w:rsidRPr="003B208B" w:rsidRDefault="00D94C91" w:rsidP="003B208B">
      <w:pPr>
        <w:jc w:val="center"/>
        <w:rPr>
          <w:rFonts w:ascii="Calibri" w:hAnsi="Calibri"/>
          <w:b/>
          <w:color w:val="17365D" w:themeColor="text2" w:themeShade="BF"/>
          <w:sz w:val="36"/>
          <w:szCs w:val="28"/>
        </w:rPr>
      </w:pPr>
      <w:r w:rsidRPr="00D94C91">
        <w:rPr>
          <w:rFonts w:ascii="Calibri" w:hAnsi="Calibri"/>
          <w:b/>
          <w:sz w:val="32"/>
          <w:szCs w:val="28"/>
        </w:rPr>
        <w:t xml:space="preserve">Near infra-red imaging </w:t>
      </w:r>
      <w:r>
        <w:rPr>
          <w:rFonts w:ascii="Calibri" w:hAnsi="Calibri"/>
          <w:b/>
          <w:sz w:val="32"/>
          <w:szCs w:val="28"/>
        </w:rPr>
        <w:t xml:space="preserve">of the microvasculature in </w:t>
      </w:r>
      <w:r w:rsidRPr="00D94C91">
        <w:rPr>
          <w:rFonts w:ascii="Calibri" w:hAnsi="Calibri"/>
          <w:b/>
          <w:sz w:val="32"/>
          <w:szCs w:val="28"/>
        </w:rPr>
        <w:t xml:space="preserve">comparison with </w:t>
      </w:r>
      <w:r>
        <w:rPr>
          <w:rFonts w:ascii="Calibri" w:hAnsi="Calibri"/>
          <w:b/>
          <w:sz w:val="32"/>
          <w:szCs w:val="28"/>
        </w:rPr>
        <w:t xml:space="preserve">resin casting of </w:t>
      </w:r>
      <w:r w:rsidRPr="00D94C91">
        <w:rPr>
          <w:rFonts w:ascii="Calibri" w:hAnsi="Calibri"/>
          <w:b/>
          <w:sz w:val="32"/>
          <w:szCs w:val="28"/>
        </w:rPr>
        <w:t>amputated limbs</w:t>
      </w:r>
      <w:r w:rsidR="003B208B">
        <w:rPr>
          <w:rFonts w:ascii="Calibri" w:hAnsi="Calibri"/>
          <w:b/>
          <w:color w:val="17365D" w:themeColor="text2" w:themeShade="BF"/>
          <w:sz w:val="32"/>
          <w:szCs w:val="28"/>
        </w:rPr>
        <w:br/>
      </w:r>
      <w:r w:rsidR="003B208B">
        <w:rPr>
          <w:rFonts w:ascii="Calibri" w:hAnsi="Calibri"/>
          <w:b/>
          <w:color w:val="17365D" w:themeColor="text2" w:themeShade="BF"/>
          <w:sz w:val="32"/>
          <w:szCs w:val="28"/>
        </w:rPr>
        <w:br/>
      </w:r>
      <w:r w:rsidR="003B208B">
        <w:rPr>
          <w:rFonts w:ascii="Calibri" w:hAnsi="Calibri"/>
          <w:b/>
          <w:color w:val="17365D" w:themeColor="text2" w:themeShade="BF"/>
          <w:sz w:val="36"/>
          <w:szCs w:val="28"/>
        </w:rPr>
        <w:br/>
      </w:r>
    </w:p>
    <w:tbl>
      <w:tblPr>
        <w:tblStyle w:val="TableGrid"/>
        <w:tblW w:w="0" w:type="auto"/>
        <w:tblLook w:val="04A0" w:firstRow="1" w:lastRow="0" w:firstColumn="1" w:lastColumn="0" w:noHBand="0" w:noVBand="1"/>
      </w:tblPr>
      <w:tblGrid>
        <w:gridCol w:w="4258"/>
        <w:gridCol w:w="4258"/>
      </w:tblGrid>
      <w:tr w:rsidR="003B208B" w14:paraId="242FE843" w14:textId="77777777" w:rsidTr="003B208B">
        <w:tc>
          <w:tcPr>
            <w:tcW w:w="4258" w:type="dxa"/>
          </w:tcPr>
          <w:p w14:paraId="60B4166F" w14:textId="5CEE273B" w:rsidR="003B208B" w:rsidRPr="002B2404" w:rsidRDefault="003B208B" w:rsidP="003B208B">
            <w:pPr>
              <w:jc w:val="center"/>
              <w:rPr>
                <w:rFonts w:ascii="Calibri" w:hAnsi="Calibri"/>
              </w:rPr>
            </w:pPr>
            <w:r w:rsidRPr="002B2404">
              <w:rPr>
                <w:rFonts w:ascii="Calibri" w:hAnsi="Calibri"/>
              </w:rPr>
              <w:t>Principal Investigator</w:t>
            </w:r>
          </w:p>
        </w:tc>
        <w:tc>
          <w:tcPr>
            <w:tcW w:w="4258" w:type="dxa"/>
          </w:tcPr>
          <w:p w14:paraId="77CD9090" w14:textId="6D589A0A" w:rsidR="003B208B" w:rsidRPr="002B2404" w:rsidRDefault="00D94C91">
            <w:pPr>
              <w:rPr>
                <w:rFonts w:ascii="Calibri" w:hAnsi="Calibri"/>
              </w:rPr>
            </w:pPr>
            <w:proofErr w:type="spellStart"/>
            <w:r w:rsidRPr="002B2404">
              <w:rPr>
                <w:rFonts w:ascii="Calibri" w:hAnsi="Calibri"/>
                <w:b/>
              </w:rPr>
              <w:t>Mrs</w:t>
            </w:r>
            <w:proofErr w:type="spellEnd"/>
            <w:r w:rsidRPr="002B2404">
              <w:rPr>
                <w:rFonts w:ascii="Calibri" w:hAnsi="Calibri"/>
                <w:b/>
              </w:rPr>
              <w:t xml:space="preserve"> Jo Krysa</w:t>
            </w:r>
            <w:r w:rsidRPr="002B2404">
              <w:rPr>
                <w:rFonts w:ascii="Calibri" w:hAnsi="Calibri"/>
              </w:rPr>
              <w:t>, Department of Surgical Sciences, University of Otago, Dunedin</w:t>
            </w:r>
          </w:p>
        </w:tc>
      </w:tr>
    </w:tbl>
    <w:p w14:paraId="58BC7B35" w14:textId="77777777" w:rsidR="003B208B" w:rsidRDefault="003B208B">
      <w:pPr>
        <w:rPr>
          <w:rFonts w:ascii="Calibri" w:hAnsi="Calibri"/>
          <w:b/>
          <w:color w:val="17365D" w:themeColor="text2" w:themeShade="BF"/>
          <w:sz w:val="36"/>
          <w:szCs w:val="28"/>
          <w:u w:val="single"/>
        </w:rPr>
      </w:pPr>
      <w:r>
        <w:rPr>
          <w:rFonts w:ascii="Calibri" w:hAnsi="Calibri"/>
          <w:b/>
          <w:color w:val="17365D" w:themeColor="text2" w:themeShade="BF"/>
          <w:sz w:val="36"/>
          <w:szCs w:val="28"/>
          <w:u w:val="single"/>
        </w:rPr>
        <w:br/>
      </w:r>
    </w:p>
    <w:tbl>
      <w:tblPr>
        <w:tblStyle w:val="TableGrid"/>
        <w:tblW w:w="0" w:type="auto"/>
        <w:tblLook w:val="04A0" w:firstRow="1" w:lastRow="0" w:firstColumn="1" w:lastColumn="0" w:noHBand="0" w:noVBand="1"/>
      </w:tblPr>
      <w:tblGrid>
        <w:gridCol w:w="4258"/>
        <w:gridCol w:w="4258"/>
      </w:tblGrid>
      <w:tr w:rsidR="00594D49" w14:paraId="0409EDE7" w14:textId="77777777" w:rsidTr="003B208B">
        <w:tc>
          <w:tcPr>
            <w:tcW w:w="4258" w:type="dxa"/>
            <w:vMerge w:val="restart"/>
          </w:tcPr>
          <w:p w14:paraId="740214E4" w14:textId="0BF85CD6" w:rsidR="00594D49" w:rsidRPr="002B2404" w:rsidRDefault="00594D49" w:rsidP="003B208B">
            <w:pPr>
              <w:jc w:val="center"/>
              <w:rPr>
                <w:rFonts w:ascii="Calibri" w:hAnsi="Calibri"/>
              </w:rPr>
            </w:pPr>
            <w:r w:rsidRPr="002B2404">
              <w:rPr>
                <w:rFonts w:ascii="Calibri" w:hAnsi="Calibri"/>
              </w:rPr>
              <w:t>Co-Investigators</w:t>
            </w:r>
          </w:p>
        </w:tc>
        <w:tc>
          <w:tcPr>
            <w:tcW w:w="4258" w:type="dxa"/>
          </w:tcPr>
          <w:p w14:paraId="0EE86225" w14:textId="2BEF6201" w:rsidR="00594D49" w:rsidRPr="002B2404" w:rsidRDefault="00D94C91">
            <w:pPr>
              <w:rPr>
                <w:rFonts w:ascii="Calibri" w:hAnsi="Calibri"/>
              </w:rPr>
            </w:pPr>
            <w:r>
              <w:rPr>
                <w:rFonts w:ascii="Calibri" w:hAnsi="Calibri"/>
                <w:b/>
              </w:rPr>
              <w:t xml:space="preserve">Associate Professor Greg Jones, </w:t>
            </w:r>
            <w:r>
              <w:rPr>
                <w:rFonts w:ascii="Calibri" w:hAnsi="Calibri"/>
              </w:rPr>
              <w:t>Department of Surgical Sciences, University of Otago, Dunedin</w:t>
            </w:r>
          </w:p>
        </w:tc>
      </w:tr>
      <w:tr w:rsidR="00594D49" w14:paraId="7E25CF28" w14:textId="77777777" w:rsidTr="003B208B">
        <w:tc>
          <w:tcPr>
            <w:tcW w:w="4258" w:type="dxa"/>
            <w:vMerge/>
          </w:tcPr>
          <w:p w14:paraId="0B263377" w14:textId="77777777" w:rsidR="00594D49" w:rsidRPr="002B2404" w:rsidRDefault="00594D49">
            <w:pPr>
              <w:rPr>
                <w:rFonts w:ascii="Calibri" w:hAnsi="Calibri"/>
              </w:rPr>
            </w:pPr>
          </w:p>
        </w:tc>
        <w:tc>
          <w:tcPr>
            <w:tcW w:w="4258" w:type="dxa"/>
          </w:tcPr>
          <w:p w14:paraId="5391097C" w14:textId="1680A710" w:rsidR="00594D49" w:rsidRPr="002B2404" w:rsidRDefault="00D94C91" w:rsidP="003B208B">
            <w:pPr>
              <w:rPr>
                <w:rFonts w:ascii="Calibri" w:hAnsi="Calibri"/>
              </w:rPr>
            </w:pPr>
            <w:proofErr w:type="spellStart"/>
            <w:r w:rsidRPr="00D94C91">
              <w:rPr>
                <w:rFonts w:ascii="Calibri" w:hAnsi="Calibri"/>
                <w:b/>
              </w:rPr>
              <w:t>Dr</w:t>
            </w:r>
            <w:proofErr w:type="spellEnd"/>
            <w:r w:rsidRPr="00D94C91">
              <w:rPr>
                <w:rFonts w:ascii="Calibri" w:hAnsi="Calibri"/>
                <w:b/>
              </w:rPr>
              <w:t xml:space="preserve"> Kari Clifford</w:t>
            </w:r>
            <w:r>
              <w:rPr>
                <w:rFonts w:ascii="Calibri" w:hAnsi="Calibri"/>
              </w:rPr>
              <w:t>, Research Assistant, Department of Surgical Sciences, University of Otago</w:t>
            </w:r>
            <w:r w:rsidR="009534D5">
              <w:rPr>
                <w:rFonts w:ascii="Calibri" w:hAnsi="Calibri"/>
              </w:rPr>
              <w:t>, Dunedin</w:t>
            </w:r>
          </w:p>
        </w:tc>
      </w:tr>
    </w:tbl>
    <w:p w14:paraId="1BBBF138" w14:textId="5F936A70" w:rsidR="003B208B" w:rsidRDefault="003B208B">
      <w:pPr>
        <w:rPr>
          <w:rFonts w:ascii="Calibri" w:hAnsi="Calibri"/>
          <w:b/>
          <w:color w:val="17365D" w:themeColor="text2" w:themeShade="BF"/>
          <w:sz w:val="36"/>
          <w:szCs w:val="28"/>
          <w:u w:val="single"/>
        </w:rPr>
      </w:pPr>
    </w:p>
    <w:p w14:paraId="35672653" w14:textId="77777777" w:rsidR="003B208B" w:rsidRDefault="003B208B">
      <w:pPr>
        <w:rPr>
          <w:rFonts w:ascii="Calibri" w:hAnsi="Calibri"/>
          <w:b/>
          <w:color w:val="17365D" w:themeColor="text2" w:themeShade="BF"/>
          <w:sz w:val="36"/>
          <w:szCs w:val="28"/>
          <w:u w:val="single"/>
        </w:rPr>
      </w:pPr>
    </w:p>
    <w:p w14:paraId="241AD33F" w14:textId="2861C45C" w:rsidR="009C50A2" w:rsidRDefault="009C50A2">
      <w:pPr>
        <w:rPr>
          <w:rFonts w:ascii="Calibri" w:hAnsi="Calibri"/>
          <w:b/>
          <w:color w:val="17365D" w:themeColor="text2" w:themeShade="BF"/>
          <w:sz w:val="36"/>
          <w:szCs w:val="28"/>
          <w:u w:val="single"/>
        </w:rPr>
      </w:pPr>
      <w:r>
        <w:rPr>
          <w:rFonts w:ascii="Calibri" w:hAnsi="Calibri"/>
          <w:b/>
          <w:color w:val="17365D" w:themeColor="text2" w:themeShade="BF"/>
          <w:sz w:val="36"/>
          <w:szCs w:val="28"/>
          <w:u w:val="single"/>
        </w:rPr>
        <w:br w:type="page"/>
      </w:r>
    </w:p>
    <w:p w14:paraId="57955EB1" w14:textId="77777777" w:rsidR="00506984" w:rsidRDefault="00506984">
      <w:pPr>
        <w:pStyle w:val="TOC1"/>
        <w:tabs>
          <w:tab w:val="right" w:leader="dot" w:pos="8290"/>
        </w:tabs>
        <w:rPr>
          <w:b w:val="0"/>
          <w:noProof/>
          <w:lang w:val="en-NZ" w:eastAsia="ja-JP"/>
        </w:rPr>
      </w:pPr>
      <w:r>
        <w:rPr>
          <w:rFonts w:ascii="Calibri" w:hAnsi="Calibri"/>
          <w:color w:val="17365D" w:themeColor="text2" w:themeShade="BF"/>
          <w:sz w:val="36"/>
          <w:szCs w:val="28"/>
          <w:u w:val="single"/>
        </w:rPr>
        <w:lastRenderedPageBreak/>
        <w:fldChar w:fldCharType="begin"/>
      </w:r>
      <w:r>
        <w:rPr>
          <w:rFonts w:ascii="Calibri" w:hAnsi="Calibri"/>
          <w:color w:val="17365D" w:themeColor="text2" w:themeShade="BF"/>
          <w:sz w:val="36"/>
          <w:szCs w:val="28"/>
          <w:u w:val="single"/>
        </w:rPr>
        <w:instrText xml:space="preserve"> TOC \o "1-1" </w:instrText>
      </w:r>
      <w:r>
        <w:rPr>
          <w:rFonts w:ascii="Calibri" w:hAnsi="Calibri"/>
          <w:color w:val="17365D" w:themeColor="text2" w:themeShade="BF"/>
          <w:sz w:val="36"/>
          <w:szCs w:val="28"/>
          <w:u w:val="single"/>
        </w:rPr>
        <w:fldChar w:fldCharType="separate"/>
      </w:r>
      <w:r>
        <w:rPr>
          <w:noProof/>
        </w:rPr>
        <w:t>1. Synopsis</w:t>
      </w:r>
      <w:r>
        <w:rPr>
          <w:noProof/>
        </w:rPr>
        <w:tab/>
      </w:r>
      <w:r>
        <w:rPr>
          <w:noProof/>
        </w:rPr>
        <w:fldChar w:fldCharType="begin"/>
      </w:r>
      <w:r>
        <w:rPr>
          <w:noProof/>
        </w:rPr>
        <w:instrText xml:space="preserve"> PAGEREF _Toc321646655 \h </w:instrText>
      </w:r>
      <w:r>
        <w:rPr>
          <w:noProof/>
        </w:rPr>
      </w:r>
      <w:r>
        <w:rPr>
          <w:noProof/>
        </w:rPr>
        <w:fldChar w:fldCharType="separate"/>
      </w:r>
      <w:r>
        <w:rPr>
          <w:noProof/>
        </w:rPr>
        <w:t>3</w:t>
      </w:r>
      <w:r>
        <w:rPr>
          <w:noProof/>
        </w:rPr>
        <w:fldChar w:fldCharType="end"/>
      </w:r>
    </w:p>
    <w:p w14:paraId="185E9BCC" w14:textId="77777777" w:rsidR="00506984" w:rsidRDefault="00506984">
      <w:pPr>
        <w:pStyle w:val="TOC1"/>
        <w:tabs>
          <w:tab w:val="right" w:leader="dot" w:pos="8290"/>
        </w:tabs>
        <w:rPr>
          <w:b w:val="0"/>
          <w:noProof/>
          <w:lang w:val="en-NZ" w:eastAsia="ja-JP"/>
        </w:rPr>
      </w:pPr>
      <w:r>
        <w:rPr>
          <w:noProof/>
        </w:rPr>
        <w:t>2. Background</w:t>
      </w:r>
      <w:r>
        <w:rPr>
          <w:noProof/>
        </w:rPr>
        <w:tab/>
      </w:r>
      <w:r>
        <w:rPr>
          <w:noProof/>
        </w:rPr>
        <w:fldChar w:fldCharType="begin"/>
      </w:r>
      <w:r>
        <w:rPr>
          <w:noProof/>
        </w:rPr>
        <w:instrText xml:space="preserve"> PAGEREF _Toc321646656 \h </w:instrText>
      </w:r>
      <w:r>
        <w:rPr>
          <w:noProof/>
        </w:rPr>
      </w:r>
      <w:r>
        <w:rPr>
          <w:noProof/>
        </w:rPr>
        <w:fldChar w:fldCharType="separate"/>
      </w:r>
      <w:r>
        <w:rPr>
          <w:noProof/>
        </w:rPr>
        <w:t>3</w:t>
      </w:r>
      <w:r>
        <w:rPr>
          <w:noProof/>
        </w:rPr>
        <w:fldChar w:fldCharType="end"/>
      </w:r>
    </w:p>
    <w:p w14:paraId="008B9F61" w14:textId="77777777" w:rsidR="00506984" w:rsidRDefault="00506984">
      <w:pPr>
        <w:pStyle w:val="TOC1"/>
        <w:tabs>
          <w:tab w:val="right" w:leader="dot" w:pos="8290"/>
        </w:tabs>
        <w:rPr>
          <w:b w:val="0"/>
          <w:noProof/>
          <w:lang w:val="en-NZ" w:eastAsia="ja-JP"/>
        </w:rPr>
      </w:pPr>
      <w:r>
        <w:rPr>
          <w:noProof/>
        </w:rPr>
        <w:t>3. Objective and Hypothesis</w:t>
      </w:r>
      <w:r>
        <w:rPr>
          <w:noProof/>
        </w:rPr>
        <w:tab/>
      </w:r>
      <w:r>
        <w:rPr>
          <w:noProof/>
        </w:rPr>
        <w:fldChar w:fldCharType="begin"/>
      </w:r>
      <w:r>
        <w:rPr>
          <w:noProof/>
        </w:rPr>
        <w:instrText xml:space="preserve"> PAGEREF _Toc321646657 \h </w:instrText>
      </w:r>
      <w:r>
        <w:rPr>
          <w:noProof/>
        </w:rPr>
      </w:r>
      <w:r>
        <w:rPr>
          <w:noProof/>
        </w:rPr>
        <w:fldChar w:fldCharType="separate"/>
      </w:r>
      <w:r>
        <w:rPr>
          <w:noProof/>
        </w:rPr>
        <w:t>4</w:t>
      </w:r>
      <w:r>
        <w:rPr>
          <w:noProof/>
        </w:rPr>
        <w:fldChar w:fldCharType="end"/>
      </w:r>
    </w:p>
    <w:p w14:paraId="076DFD8B" w14:textId="77777777" w:rsidR="00506984" w:rsidRDefault="00506984">
      <w:pPr>
        <w:pStyle w:val="TOC1"/>
        <w:tabs>
          <w:tab w:val="right" w:leader="dot" w:pos="8290"/>
        </w:tabs>
        <w:rPr>
          <w:b w:val="0"/>
          <w:noProof/>
          <w:lang w:val="en-NZ" w:eastAsia="ja-JP"/>
        </w:rPr>
      </w:pPr>
      <w:r>
        <w:rPr>
          <w:noProof/>
        </w:rPr>
        <w:t>4. Contrast Agent</w:t>
      </w:r>
      <w:r>
        <w:rPr>
          <w:noProof/>
        </w:rPr>
        <w:tab/>
      </w:r>
      <w:r>
        <w:rPr>
          <w:noProof/>
        </w:rPr>
        <w:fldChar w:fldCharType="begin"/>
      </w:r>
      <w:r>
        <w:rPr>
          <w:noProof/>
        </w:rPr>
        <w:instrText xml:space="preserve"> PAGEREF _Toc321646658 \h </w:instrText>
      </w:r>
      <w:r>
        <w:rPr>
          <w:noProof/>
        </w:rPr>
      </w:r>
      <w:r>
        <w:rPr>
          <w:noProof/>
        </w:rPr>
        <w:fldChar w:fldCharType="separate"/>
      </w:r>
      <w:r>
        <w:rPr>
          <w:noProof/>
        </w:rPr>
        <w:t>4</w:t>
      </w:r>
      <w:r>
        <w:rPr>
          <w:noProof/>
        </w:rPr>
        <w:fldChar w:fldCharType="end"/>
      </w:r>
    </w:p>
    <w:p w14:paraId="21A484E8" w14:textId="77777777" w:rsidR="00506984" w:rsidRDefault="00506984">
      <w:pPr>
        <w:pStyle w:val="TOC1"/>
        <w:tabs>
          <w:tab w:val="right" w:leader="dot" w:pos="8290"/>
        </w:tabs>
        <w:rPr>
          <w:b w:val="0"/>
          <w:noProof/>
          <w:lang w:val="en-NZ" w:eastAsia="ja-JP"/>
        </w:rPr>
      </w:pPr>
      <w:r>
        <w:rPr>
          <w:noProof/>
        </w:rPr>
        <w:t>5. Preparing the ICG-PULSION solution</w:t>
      </w:r>
      <w:r>
        <w:rPr>
          <w:noProof/>
        </w:rPr>
        <w:tab/>
      </w:r>
      <w:r>
        <w:rPr>
          <w:noProof/>
        </w:rPr>
        <w:fldChar w:fldCharType="begin"/>
      </w:r>
      <w:r>
        <w:rPr>
          <w:noProof/>
        </w:rPr>
        <w:instrText xml:space="preserve"> PAGEREF _Toc321646659 \h </w:instrText>
      </w:r>
      <w:r>
        <w:rPr>
          <w:noProof/>
        </w:rPr>
      </w:r>
      <w:r>
        <w:rPr>
          <w:noProof/>
        </w:rPr>
        <w:fldChar w:fldCharType="separate"/>
      </w:r>
      <w:r>
        <w:rPr>
          <w:noProof/>
        </w:rPr>
        <w:t>6</w:t>
      </w:r>
      <w:r>
        <w:rPr>
          <w:noProof/>
        </w:rPr>
        <w:fldChar w:fldCharType="end"/>
      </w:r>
    </w:p>
    <w:p w14:paraId="3F8B7B3B" w14:textId="77777777" w:rsidR="00506984" w:rsidRDefault="00506984">
      <w:pPr>
        <w:pStyle w:val="TOC1"/>
        <w:tabs>
          <w:tab w:val="right" w:leader="dot" w:pos="8290"/>
        </w:tabs>
        <w:rPr>
          <w:b w:val="0"/>
          <w:noProof/>
          <w:lang w:val="en-NZ" w:eastAsia="ja-JP"/>
        </w:rPr>
      </w:pPr>
      <w:r>
        <w:rPr>
          <w:noProof/>
        </w:rPr>
        <w:t>6. Trial Design</w:t>
      </w:r>
      <w:r>
        <w:rPr>
          <w:noProof/>
        </w:rPr>
        <w:tab/>
      </w:r>
      <w:r>
        <w:rPr>
          <w:noProof/>
        </w:rPr>
        <w:fldChar w:fldCharType="begin"/>
      </w:r>
      <w:r>
        <w:rPr>
          <w:noProof/>
        </w:rPr>
        <w:instrText xml:space="preserve"> PAGEREF _Toc321646660 \h </w:instrText>
      </w:r>
      <w:r>
        <w:rPr>
          <w:noProof/>
        </w:rPr>
      </w:r>
      <w:r>
        <w:rPr>
          <w:noProof/>
        </w:rPr>
        <w:fldChar w:fldCharType="separate"/>
      </w:r>
      <w:r>
        <w:rPr>
          <w:noProof/>
        </w:rPr>
        <w:t>6</w:t>
      </w:r>
      <w:r>
        <w:rPr>
          <w:noProof/>
        </w:rPr>
        <w:fldChar w:fldCharType="end"/>
      </w:r>
    </w:p>
    <w:p w14:paraId="65035871" w14:textId="77777777" w:rsidR="00506984" w:rsidRDefault="00506984">
      <w:pPr>
        <w:pStyle w:val="TOC1"/>
        <w:tabs>
          <w:tab w:val="right" w:leader="dot" w:pos="8290"/>
        </w:tabs>
        <w:rPr>
          <w:b w:val="0"/>
          <w:noProof/>
          <w:lang w:val="en-NZ" w:eastAsia="ja-JP"/>
        </w:rPr>
      </w:pPr>
      <w:r>
        <w:rPr>
          <w:noProof/>
        </w:rPr>
        <w:t>7. Equipment</w:t>
      </w:r>
      <w:r>
        <w:rPr>
          <w:noProof/>
        </w:rPr>
        <w:tab/>
      </w:r>
      <w:r>
        <w:rPr>
          <w:noProof/>
        </w:rPr>
        <w:fldChar w:fldCharType="begin"/>
      </w:r>
      <w:r>
        <w:rPr>
          <w:noProof/>
        </w:rPr>
        <w:instrText xml:space="preserve"> PAGEREF _Toc321646661 \h </w:instrText>
      </w:r>
      <w:r>
        <w:rPr>
          <w:noProof/>
        </w:rPr>
      </w:r>
      <w:r>
        <w:rPr>
          <w:noProof/>
        </w:rPr>
        <w:fldChar w:fldCharType="separate"/>
      </w:r>
      <w:r>
        <w:rPr>
          <w:noProof/>
        </w:rPr>
        <w:t>8</w:t>
      </w:r>
      <w:r>
        <w:rPr>
          <w:noProof/>
        </w:rPr>
        <w:fldChar w:fldCharType="end"/>
      </w:r>
    </w:p>
    <w:p w14:paraId="4C64CCA7" w14:textId="77777777" w:rsidR="00506984" w:rsidRDefault="00506984">
      <w:pPr>
        <w:pStyle w:val="TOC1"/>
        <w:tabs>
          <w:tab w:val="right" w:leader="dot" w:pos="8290"/>
        </w:tabs>
        <w:rPr>
          <w:b w:val="0"/>
          <w:noProof/>
          <w:lang w:val="en-NZ" w:eastAsia="ja-JP"/>
        </w:rPr>
      </w:pPr>
      <w:r>
        <w:rPr>
          <w:noProof/>
        </w:rPr>
        <w:t>8. Safety Reporting</w:t>
      </w:r>
      <w:r>
        <w:rPr>
          <w:noProof/>
        </w:rPr>
        <w:tab/>
      </w:r>
      <w:r>
        <w:rPr>
          <w:noProof/>
        </w:rPr>
        <w:fldChar w:fldCharType="begin"/>
      </w:r>
      <w:r>
        <w:rPr>
          <w:noProof/>
        </w:rPr>
        <w:instrText xml:space="preserve"> PAGEREF _Toc321646662 \h </w:instrText>
      </w:r>
      <w:r>
        <w:rPr>
          <w:noProof/>
        </w:rPr>
      </w:r>
      <w:r>
        <w:rPr>
          <w:noProof/>
        </w:rPr>
        <w:fldChar w:fldCharType="separate"/>
      </w:r>
      <w:r>
        <w:rPr>
          <w:noProof/>
        </w:rPr>
        <w:t>9</w:t>
      </w:r>
      <w:r>
        <w:rPr>
          <w:noProof/>
        </w:rPr>
        <w:fldChar w:fldCharType="end"/>
      </w:r>
    </w:p>
    <w:p w14:paraId="520C0832" w14:textId="77777777" w:rsidR="00506984" w:rsidRDefault="00506984">
      <w:pPr>
        <w:pStyle w:val="TOC1"/>
        <w:tabs>
          <w:tab w:val="right" w:leader="dot" w:pos="8290"/>
        </w:tabs>
        <w:rPr>
          <w:b w:val="0"/>
          <w:noProof/>
          <w:lang w:val="en-NZ" w:eastAsia="ja-JP"/>
        </w:rPr>
      </w:pPr>
      <w:r>
        <w:rPr>
          <w:noProof/>
        </w:rPr>
        <w:t>9. Ethics</w:t>
      </w:r>
      <w:r>
        <w:rPr>
          <w:noProof/>
        </w:rPr>
        <w:tab/>
      </w:r>
      <w:r>
        <w:rPr>
          <w:noProof/>
        </w:rPr>
        <w:fldChar w:fldCharType="begin"/>
      </w:r>
      <w:r>
        <w:rPr>
          <w:noProof/>
        </w:rPr>
        <w:instrText xml:space="preserve"> PAGEREF _Toc321646663 \h </w:instrText>
      </w:r>
      <w:r>
        <w:rPr>
          <w:noProof/>
        </w:rPr>
      </w:r>
      <w:r>
        <w:rPr>
          <w:noProof/>
        </w:rPr>
        <w:fldChar w:fldCharType="separate"/>
      </w:r>
      <w:r>
        <w:rPr>
          <w:noProof/>
        </w:rPr>
        <w:t>10</w:t>
      </w:r>
      <w:r>
        <w:rPr>
          <w:noProof/>
        </w:rPr>
        <w:fldChar w:fldCharType="end"/>
      </w:r>
    </w:p>
    <w:p w14:paraId="32A344BA" w14:textId="77777777" w:rsidR="00506984" w:rsidRDefault="00506984">
      <w:pPr>
        <w:pStyle w:val="TOC1"/>
        <w:tabs>
          <w:tab w:val="right" w:leader="dot" w:pos="8290"/>
        </w:tabs>
        <w:rPr>
          <w:b w:val="0"/>
          <w:noProof/>
          <w:lang w:val="en-NZ" w:eastAsia="ja-JP"/>
        </w:rPr>
      </w:pPr>
      <w:r>
        <w:rPr>
          <w:noProof/>
        </w:rPr>
        <w:t>10. Financing and Insurance</w:t>
      </w:r>
      <w:r>
        <w:rPr>
          <w:noProof/>
        </w:rPr>
        <w:tab/>
      </w:r>
      <w:r>
        <w:rPr>
          <w:noProof/>
        </w:rPr>
        <w:fldChar w:fldCharType="begin"/>
      </w:r>
      <w:r>
        <w:rPr>
          <w:noProof/>
        </w:rPr>
        <w:instrText xml:space="preserve"> PAGEREF _Toc321646664 \h </w:instrText>
      </w:r>
      <w:r>
        <w:rPr>
          <w:noProof/>
        </w:rPr>
      </w:r>
      <w:r>
        <w:rPr>
          <w:noProof/>
        </w:rPr>
        <w:fldChar w:fldCharType="separate"/>
      </w:r>
      <w:r>
        <w:rPr>
          <w:noProof/>
        </w:rPr>
        <w:t>11</w:t>
      </w:r>
      <w:r>
        <w:rPr>
          <w:noProof/>
        </w:rPr>
        <w:fldChar w:fldCharType="end"/>
      </w:r>
    </w:p>
    <w:p w14:paraId="3C904FE3" w14:textId="77777777" w:rsidR="00506984" w:rsidRDefault="00506984">
      <w:pPr>
        <w:pStyle w:val="TOC1"/>
        <w:tabs>
          <w:tab w:val="right" w:leader="dot" w:pos="8290"/>
        </w:tabs>
        <w:rPr>
          <w:b w:val="0"/>
          <w:noProof/>
          <w:lang w:val="en-NZ" w:eastAsia="ja-JP"/>
        </w:rPr>
      </w:pPr>
      <w:r>
        <w:rPr>
          <w:noProof/>
        </w:rPr>
        <w:t>11. Results Dissemination</w:t>
      </w:r>
      <w:r>
        <w:rPr>
          <w:noProof/>
        </w:rPr>
        <w:tab/>
      </w:r>
      <w:r>
        <w:rPr>
          <w:noProof/>
        </w:rPr>
        <w:fldChar w:fldCharType="begin"/>
      </w:r>
      <w:r>
        <w:rPr>
          <w:noProof/>
        </w:rPr>
        <w:instrText xml:space="preserve"> PAGEREF _Toc321646665 \h </w:instrText>
      </w:r>
      <w:r>
        <w:rPr>
          <w:noProof/>
        </w:rPr>
      </w:r>
      <w:r>
        <w:rPr>
          <w:noProof/>
        </w:rPr>
        <w:fldChar w:fldCharType="separate"/>
      </w:r>
      <w:r>
        <w:rPr>
          <w:noProof/>
        </w:rPr>
        <w:t>11</w:t>
      </w:r>
      <w:r>
        <w:rPr>
          <w:noProof/>
        </w:rPr>
        <w:fldChar w:fldCharType="end"/>
      </w:r>
    </w:p>
    <w:p w14:paraId="075599C6" w14:textId="77777777" w:rsidR="00506984" w:rsidRDefault="00506984">
      <w:pPr>
        <w:pStyle w:val="TOC1"/>
        <w:tabs>
          <w:tab w:val="right" w:leader="dot" w:pos="8290"/>
        </w:tabs>
        <w:rPr>
          <w:b w:val="0"/>
          <w:noProof/>
          <w:lang w:val="en-NZ" w:eastAsia="ja-JP"/>
        </w:rPr>
      </w:pPr>
      <w:r>
        <w:rPr>
          <w:noProof/>
        </w:rPr>
        <w:t>12. References</w:t>
      </w:r>
      <w:r>
        <w:rPr>
          <w:noProof/>
        </w:rPr>
        <w:tab/>
      </w:r>
      <w:r>
        <w:rPr>
          <w:noProof/>
        </w:rPr>
        <w:fldChar w:fldCharType="begin"/>
      </w:r>
      <w:r>
        <w:rPr>
          <w:noProof/>
        </w:rPr>
        <w:instrText xml:space="preserve"> PAGEREF _Toc321646666 \h </w:instrText>
      </w:r>
      <w:r>
        <w:rPr>
          <w:noProof/>
        </w:rPr>
      </w:r>
      <w:r>
        <w:rPr>
          <w:noProof/>
        </w:rPr>
        <w:fldChar w:fldCharType="separate"/>
      </w:r>
      <w:r>
        <w:rPr>
          <w:noProof/>
        </w:rPr>
        <w:t>12</w:t>
      </w:r>
      <w:r>
        <w:rPr>
          <w:noProof/>
        </w:rPr>
        <w:fldChar w:fldCharType="end"/>
      </w:r>
    </w:p>
    <w:p w14:paraId="7F133E70" w14:textId="77777777" w:rsidR="00506984" w:rsidRDefault="00506984">
      <w:pPr>
        <w:rPr>
          <w:rFonts w:ascii="Calibri" w:hAnsi="Calibri"/>
          <w:color w:val="17365D" w:themeColor="text2" w:themeShade="BF"/>
          <w:sz w:val="36"/>
          <w:szCs w:val="28"/>
          <w:u w:val="single"/>
        </w:rPr>
      </w:pPr>
      <w:r>
        <w:rPr>
          <w:rFonts w:ascii="Calibri" w:hAnsi="Calibri"/>
          <w:color w:val="17365D" w:themeColor="text2" w:themeShade="BF"/>
          <w:sz w:val="36"/>
          <w:szCs w:val="28"/>
          <w:u w:val="single"/>
        </w:rPr>
        <w:fldChar w:fldCharType="end"/>
      </w:r>
    </w:p>
    <w:p w14:paraId="247085C4" w14:textId="77777777" w:rsidR="00506984" w:rsidRDefault="00506984">
      <w:pPr>
        <w:rPr>
          <w:rFonts w:ascii="Calibri" w:hAnsi="Calibri"/>
          <w:color w:val="17365D" w:themeColor="text2" w:themeShade="BF"/>
          <w:sz w:val="36"/>
          <w:szCs w:val="28"/>
          <w:u w:val="single"/>
        </w:rPr>
      </w:pPr>
      <w:r>
        <w:rPr>
          <w:rFonts w:ascii="Calibri" w:hAnsi="Calibri"/>
          <w:color w:val="17365D" w:themeColor="text2" w:themeShade="BF"/>
          <w:sz w:val="36"/>
          <w:szCs w:val="28"/>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A85596" w:rsidRPr="000359AB" w14:paraId="5F539EAF" w14:textId="77777777" w:rsidTr="00A85596">
        <w:tc>
          <w:tcPr>
            <w:tcW w:w="8516" w:type="dxa"/>
            <w:shd w:val="clear" w:color="auto" w:fill="C6D9F1" w:themeFill="text2" w:themeFillTint="33"/>
          </w:tcPr>
          <w:p w14:paraId="24B56E42" w14:textId="44872424" w:rsidR="00A85596" w:rsidRPr="000359AB" w:rsidRDefault="00A85596" w:rsidP="007A789B">
            <w:pPr>
              <w:pStyle w:val="Heading1"/>
            </w:pPr>
            <w:r>
              <w:lastRenderedPageBreak/>
              <w:br/>
            </w:r>
            <w:bookmarkStart w:id="1" w:name="_Toc321148777"/>
            <w:bookmarkStart w:id="2" w:name="_Toc321646572"/>
            <w:bookmarkStart w:id="3" w:name="_Toc321646655"/>
            <w:r w:rsidR="003B208B" w:rsidRPr="001F7B23">
              <w:t>1. Synopsis</w:t>
            </w:r>
            <w:bookmarkEnd w:id="1"/>
            <w:bookmarkEnd w:id="2"/>
            <w:bookmarkEnd w:id="3"/>
          </w:p>
        </w:tc>
      </w:tr>
    </w:tbl>
    <w:p w14:paraId="4D3DFF95" w14:textId="262997E8" w:rsidR="000359AB" w:rsidRDefault="000359AB"/>
    <w:p w14:paraId="0F826068" w14:textId="2F2B0222" w:rsidR="003B208B" w:rsidRDefault="003B208B">
      <w:pPr>
        <w:rPr>
          <w:rFonts w:ascii="Calibri" w:hAnsi="Calibri"/>
        </w:rPr>
      </w:pPr>
      <w:r>
        <w:rPr>
          <w:rFonts w:ascii="Calibri" w:hAnsi="Calibri"/>
          <w:b/>
        </w:rPr>
        <w:t xml:space="preserve">Study Title: </w:t>
      </w:r>
      <w:r w:rsidR="00D94C91" w:rsidRPr="00D94C91">
        <w:rPr>
          <w:rFonts w:ascii="Calibri" w:hAnsi="Calibri"/>
        </w:rPr>
        <w:t>Near infra-red imaging of the microvasculature in comparison with resin casting of amputated limbs</w:t>
      </w:r>
      <w:r w:rsidR="00D94C91">
        <w:rPr>
          <w:rFonts w:ascii="Calibri" w:hAnsi="Calibri"/>
        </w:rPr>
        <w:t>.</w:t>
      </w:r>
    </w:p>
    <w:p w14:paraId="41387D48" w14:textId="77777777" w:rsidR="00D94C91" w:rsidRDefault="00D94C91">
      <w:pPr>
        <w:rPr>
          <w:rFonts w:ascii="Calibri" w:hAnsi="Calibri"/>
        </w:rPr>
      </w:pPr>
    </w:p>
    <w:p w14:paraId="5EF237A5" w14:textId="0CDC5685" w:rsidR="00D94C91" w:rsidRDefault="003B208B" w:rsidP="00D94C91">
      <w:r>
        <w:rPr>
          <w:rFonts w:ascii="Calibri" w:hAnsi="Calibri"/>
          <w:b/>
        </w:rPr>
        <w:t>Trial Participants:</w:t>
      </w:r>
      <w:r>
        <w:rPr>
          <w:rFonts w:ascii="Calibri" w:hAnsi="Calibri"/>
        </w:rPr>
        <w:t xml:space="preserve"> Patients </w:t>
      </w:r>
      <w:r w:rsidR="00D94C91">
        <w:rPr>
          <w:rFonts w:ascii="Calibri" w:hAnsi="Calibri"/>
        </w:rPr>
        <w:t>ref</w:t>
      </w:r>
      <w:r w:rsidR="00F0162D">
        <w:rPr>
          <w:rFonts w:ascii="Calibri" w:hAnsi="Calibri"/>
        </w:rPr>
        <w:t>erred for amputation of the leg during the trial period.</w:t>
      </w:r>
      <w:r>
        <w:rPr>
          <w:rFonts w:ascii="Calibri" w:hAnsi="Calibri"/>
        </w:rPr>
        <w:br/>
      </w:r>
      <w:r>
        <w:rPr>
          <w:rFonts w:ascii="Calibri" w:hAnsi="Calibri"/>
        </w:rPr>
        <w:br/>
      </w:r>
      <w:r>
        <w:rPr>
          <w:rFonts w:ascii="Calibri" w:hAnsi="Calibri"/>
          <w:b/>
        </w:rPr>
        <w:t>Sample Size:</w:t>
      </w:r>
      <w:r>
        <w:rPr>
          <w:rFonts w:ascii="Calibri" w:hAnsi="Calibri"/>
        </w:rPr>
        <w:t xml:space="preserve"> </w:t>
      </w:r>
      <w:r w:rsidR="00D94C91">
        <w:rPr>
          <w:rFonts w:ascii="Calibri" w:hAnsi="Calibri"/>
        </w:rPr>
        <w:t>&gt;15</w:t>
      </w:r>
      <w:r>
        <w:rPr>
          <w:rFonts w:ascii="Calibri" w:hAnsi="Calibri"/>
        </w:rPr>
        <w:br/>
      </w:r>
      <w:r>
        <w:rPr>
          <w:rFonts w:ascii="Calibri" w:hAnsi="Calibri"/>
        </w:rPr>
        <w:br/>
      </w:r>
      <w:r>
        <w:rPr>
          <w:rFonts w:ascii="Calibri" w:hAnsi="Calibri"/>
          <w:b/>
        </w:rPr>
        <w:t>Planned Trial Duration:</w:t>
      </w:r>
      <w:r w:rsidR="00D94C91">
        <w:rPr>
          <w:rFonts w:ascii="Calibri" w:hAnsi="Calibri"/>
        </w:rPr>
        <w:t xml:space="preserve"> April 2017 to April 2019</w:t>
      </w:r>
      <w:r>
        <w:rPr>
          <w:rFonts w:ascii="Calibri" w:hAnsi="Calibri"/>
        </w:rPr>
        <w:br/>
      </w:r>
      <w:r>
        <w:rPr>
          <w:rFonts w:ascii="Calibri" w:hAnsi="Calibri"/>
        </w:rPr>
        <w:br/>
      </w:r>
      <w:r>
        <w:rPr>
          <w:rFonts w:ascii="Calibri" w:hAnsi="Calibri"/>
          <w:b/>
        </w:rPr>
        <w:t>Primary Objective:</w:t>
      </w:r>
      <w:r>
        <w:rPr>
          <w:rFonts w:ascii="Calibri" w:hAnsi="Calibri"/>
        </w:rPr>
        <w:t xml:space="preserve"> </w:t>
      </w:r>
      <w:r w:rsidR="00D94C91" w:rsidRPr="00B5107A">
        <w:t>To</w:t>
      </w:r>
      <w:r w:rsidR="00D94C91">
        <w:t xml:space="preserve"> investigate </w:t>
      </w:r>
      <w:proofErr w:type="spellStart"/>
      <w:r w:rsidR="00D94C91">
        <w:t>microvenous</w:t>
      </w:r>
      <w:proofErr w:type="spellEnd"/>
      <w:r w:rsidR="00D94C91">
        <w:t xml:space="preserve"> vessels and their abnormalities using near infrared imaging (NIR) by correlating NIR data with observable venous structures in resin casts of amputated limbs. </w:t>
      </w:r>
      <w:r w:rsidR="00D94C91" w:rsidRPr="00B5107A">
        <w:t xml:space="preserve"> </w:t>
      </w:r>
    </w:p>
    <w:p w14:paraId="3E5CC044" w14:textId="6C6E4FA4" w:rsidR="001F7B23" w:rsidRDefault="001F7B23">
      <w:pPr>
        <w:rPr>
          <w:rFonts w:ascii="Calibri" w:hAnsi="Calibri"/>
        </w:rPr>
      </w:pPr>
      <w:r>
        <w:rPr>
          <w:rFonts w:ascii="Calibri" w:hAnsi="Calibri"/>
        </w:rPr>
        <w:br/>
      </w:r>
      <w:r>
        <w:rPr>
          <w:rFonts w:ascii="Calibri" w:hAnsi="Calibri"/>
        </w:rPr>
        <w:br/>
      </w:r>
      <w:r>
        <w:rPr>
          <w:rFonts w:ascii="Calibri" w:hAnsi="Calibri"/>
        </w:rPr>
        <w:br/>
      </w:r>
    </w:p>
    <w:tbl>
      <w:tblPr>
        <w:tblStyle w:val="TableGrid"/>
        <w:tblW w:w="0" w:type="auto"/>
        <w:tblLook w:val="04A0" w:firstRow="1" w:lastRow="0" w:firstColumn="1" w:lastColumn="0" w:noHBand="0" w:noVBand="1"/>
      </w:tblPr>
      <w:tblGrid>
        <w:gridCol w:w="8516"/>
      </w:tblGrid>
      <w:tr w:rsidR="001F7B23" w14:paraId="55851272" w14:textId="77777777" w:rsidTr="001F7B23">
        <w:tc>
          <w:tcPr>
            <w:tcW w:w="8516" w:type="dxa"/>
            <w:tcBorders>
              <w:top w:val="nil"/>
              <w:left w:val="nil"/>
              <w:bottom w:val="nil"/>
              <w:right w:val="nil"/>
            </w:tcBorders>
            <w:shd w:val="clear" w:color="auto" w:fill="C6D9F1" w:themeFill="text2" w:themeFillTint="33"/>
          </w:tcPr>
          <w:p w14:paraId="38666216" w14:textId="77777777" w:rsidR="001F7B23" w:rsidRDefault="001F7B23">
            <w:pPr>
              <w:rPr>
                <w:rFonts w:ascii="Calibri" w:hAnsi="Calibri"/>
                <w:b/>
              </w:rPr>
            </w:pPr>
          </w:p>
          <w:p w14:paraId="0DCB90F7" w14:textId="6D217A86" w:rsidR="001F7B23" w:rsidRPr="001F7B23" w:rsidRDefault="001F7B23" w:rsidP="007A789B">
            <w:pPr>
              <w:pStyle w:val="Heading1"/>
            </w:pPr>
            <w:bookmarkStart w:id="4" w:name="_Toc321148778"/>
            <w:bookmarkStart w:id="5" w:name="_Toc321646573"/>
            <w:bookmarkStart w:id="6" w:name="_Toc321646656"/>
            <w:r w:rsidRPr="001F7B23">
              <w:t>2. Background</w:t>
            </w:r>
            <w:bookmarkEnd w:id="4"/>
            <w:bookmarkEnd w:id="5"/>
            <w:bookmarkEnd w:id="6"/>
          </w:p>
        </w:tc>
      </w:tr>
    </w:tbl>
    <w:p w14:paraId="17B93BC4" w14:textId="77777777" w:rsidR="003B208B" w:rsidRPr="000359AB" w:rsidRDefault="003B208B"/>
    <w:p w14:paraId="63FCEFB8" w14:textId="77777777" w:rsidR="00D94C91" w:rsidRDefault="00D94C91" w:rsidP="00D94C91">
      <w:pPr>
        <w:ind w:firstLine="720"/>
      </w:pPr>
      <w:r>
        <w:t xml:space="preserve">Chronic venous insufficiency (CVI) in some patients can lead to varicose veins, pain, venous ulceration, and loss of limb. To date, it is not possible to predict in which patients with CVI the disease will progress. Previously we have shown that venous insufficiency can be prevalent in the </w:t>
      </w:r>
      <w:proofErr w:type="spellStart"/>
      <w:r>
        <w:t>microvenous</w:t>
      </w:r>
      <w:proofErr w:type="spellEnd"/>
      <w:r>
        <w:t xml:space="preserve"> network, even when ultrasound diagnostics show that the Great Saphenous Vein (GSV) has no reflux. We theorize that insufficiency at this </w:t>
      </w:r>
      <w:proofErr w:type="spellStart"/>
      <w:r>
        <w:t>microvenous</w:t>
      </w:r>
      <w:proofErr w:type="spellEnd"/>
      <w:r>
        <w:t xml:space="preserve"> level could indicate the early stages of CVI. Patients deemed to be at risk for CVI could then undertake preventative treatment modalities (exercise, nutrition, compression garments).</w:t>
      </w:r>
    </w:p>
    <w:p w14:paraId="09339661" w14:textId="77777777" w:rsidR="00D94C91" w:rsidRDefault="00D94C91" w:rsidP="00D94C91"/>
    <w:p w14:paraId="7985484C" w14:textId="4B11525D" w:rsidR="00D94C91" w:rsidRDefault="00D94C91" w:rsidP="00D94C91">
      <w:pPr>
        <w:ind w:firstLine="720"/>
      </w:pPr>
      <w:r>
        <w:t xml:space="preserve">Non-invasive imaging modalities that can distinguish abnormal </w:t>
      </w:r>
      <w:proofErr w:type="spellStart"/>
      <w:r>
        <w:t>microvenous</w:t>
      </w:r>
      <w:proofErr w:type="spellEnd"/>
      <w:r>
        <w:t xml:space="preserve"> systems would be a valuable tool in ascertaining patient risk. </w:t>
      </w:r>
      <w:r w:rsidR="00424D08">
        <w:t xml:space="preserve"> </w:t>
      </w:r>
      <w:proofErr w:type="gramStart"/>
      <w:r>
        <w:t xml:space="preserve">Near infrared imaging </w:t>
      </w:r>
      <w:r w:rsidR="00C414DA">
        <w:t xml:space="preserve">using </w:t>
      </w:r>
      <w:proofErr w:type="spellStart"/>
      <w:r w:rsidR="00C414DA">
        <w:t>indocyanine</w:t>
      </w:r>
      <w:proofErr w:type="spellEnd"/>
      <w:r w:rsidR="00C414DA">
        <w:t xml:space="preserve"> green (ICG) </w:t>
      </w:r>
      <w:r>
        <w:t>has been used since</w:t>
      </w:r>
      <w:r w:rsidR="00C414DA">
        <w:t xml:space="preserve"> 1956 in </w:t>
      </w:r>
      <w:r>
        <w:t xml:space="preserve">the fields of </w:t>
      </w:r>
      <w:r w:rsidR="00C414DA">
        <w:t xml:space="preserve">cardiology, ophthalmology, neurology, and </w:t>
      </w:r>
      <w:r>
        <w:t>plastics</w:t>
      </w:r>
      <w:r w:rsidR="00C414DA">
        <w:t xml:space="preserve"> for examining perfusion</w:t>
      </w:r>
      <w:r w:rsidR="00F0162D">
        <w:t xml:space="preserve"> and identifying perforators</w:t>
      </w:r>
      <w:r w:rsidR="00C414DA">
        <w:t>.</w:t>
      </w:r>
      <w:proofErr w:type="gramEnd"/>
      <w:r w:rsidR="00C414DA">
        <w:t xml:space="preserve"> </w:t>
      </w:r>
      <w:r>
        <w:t xml:space="preserve"> ICG is a dye that is injected intravenously, and that fluoresces under a near-infra red laser camera. The clinician can see the blood flow through blood vessels while the dye is passing through. </w:t>
      </w:r>
      <w:r w:rsidR="00F0162D">
        <w:t xml:space="preserve">Previous work by our group in a pilot study suggested that </w:t>
      </w:r>
      <w:proofErr w:type="spellStart"/>
      <w:r w:rsidR="00F0162D">
        <w:t>microvenous</w:t>
      </w:r>
      <w:proofErr w:type="spellEnd"/>
      <w:r w:rsidR="00F0162D">
        <w:t xml:space="preserve"> structures can be imaged, and this study is a continuation of that work.</w:t>
      </w:r>
    </w:p>
    <w:p w14:paraId="79A7699E" w14:textId="031BFE71" w:rsidR="009947A9" w:rsidRDefault="001F7B23">
      <w:pPr>
        <w:rPr>
          <w:rFonts w:ascii="Calibri" w:hAnsi="Calibri"/>
        </w:rPr>
      </w:pPr>
      <w:r>
        <w:rPr>
          <w:rFonts w:ascii="Calibri" w:hAnsi="Calibri"/>
        </w:rPr>
        <w:br/>
      </w:r>
      <w:r>
        <w:rPr>
          <w:rFonts w:ascii="Calibri" w:hAnsi="Calibri"/>
        </w:rPr>
        <w:br/>
      </w:r>
    </w:p>
    <w:p w14:paraId="49EFBAFF" w14:textId="77777777" w:rsidR="009A58AE" w:rsidRDefault="009A58AE">
      <w:pPr>
        <w:rPr>
          <w:rFonts w:ascii="Calibri" w:hAnsi="Calibri"/>
        </w:rPr>
      </w:pPr>
    </w:p>
    <w:p w14:paraId="0CE5A15B" w14:textId="77777777" w:rsidR="009A58AE" w:rsidRPr="001F7B23" w:rsidRDefault="009A58AE">
      <w:pPr>
        <w:rPr>
          <w:rFonts w:ascii="Calibri" w:hAnsi="Calibri"/>
        </w:rPr>
      </w:pPr>
    </w:p>
    <w:p w14:paraId="268BD587" w14:textId="77777777" w:rsidR="009947A9" w:rsidRDefault="009947A9">
      <w:pPr>
        <w:rPr>
          <w:rFonts w:ascii="Calibri" w:hAnsi="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9947A9" w:rsidRPr="009947A9" w14:paraId="07CB7E7F" w14:textId="77777777" w:rsidTr="009947A9">
        <w:tc>
          <w:tcPr>
            <w:tcW w:w="8516" w:type="dxa"/>
            <w:shd w:val="clear" w:color="auto" w:fill="C6D9F1" w:themeFill="text2" w:themeFillTint="33"/>
          </w:tcPr>
          <w:p w14:paraId="24C0819D" w14:textId="77777777" w:rsidR="009947A9" w:rsidRDefault="009947A9" w:rsidP="009947A9">
            <w:pPr>
              <w:rPr>
                <w:rFonts w:ascii="Calibri" w:hAnsi="Calibri"/>
                <w:b/>
              </w:rPr>
            </w:pPr>
          </w:p>
          <w:p w14:paraId="7B3A5493" w14:textId="25C072FD" w:rsidR="009947A9" w:rsidRPr="009947A9" w:rsidRDefault="001F7B23" w:rsidP="007A789B">
            <w:pPr>
              <w:pStyle w:val="Heading1"/>
            </w:pPr>
            <w:bookmarkStart w:id="7" w:name="_Toc321148779"/>
            <w:bookmarkStart w:id="8" w:name="_Toc321646574"/>
            <w:bookmarkStart w:id="9" w:name="_Toc321646657"/>
            <w:r w:rsidRPr="001F7B23">
              <w:t>3. Objective and Hypothesis</w:t>
            </w:r>
            <w:bookmarkEnd w:id="7"/>
            <w:bookmarkEnd w:id="8"/>
            <w:bookmarkEnd w:id="9"/>
            <w:r w:rsidRPr="001F7B23">
              <w:t xml:space="preserve"> </w:t>
            </w:r>
          </w:p>
        </w:tc>
      </w:tr>
    </w:tbl>
    <w:p w14:paraId="767DAD80" w14:textId="77777777" w:rsidR="00A85596" w:rsidRDefault="00A85596"/>
    <w:p w14:paraId="328BC088" w14:textId="77777777" w:rsidR="009A58AE" w:rsidRDefault="009A58AE">
      <w:pPr>
        <w:rPr>
          <w:rFonts w:ascii="Calibri" w:hAnsi="Calibri"/>
        </w:rPr>
      </w:pPr>
    </w:p>
    <w:p w14:paraId="0F6EE8C4" w14:textId="66C96EBF" w:rsidR="00594D49" w:rsidRPr="001F7B23" w:rsidRDefault="009A58AE" w:rsidP="00325113">
      <w:pPr>
        <w:rPr>
          <w:rFonts w:ascii="Calibri" w:hAnsi="Calibri"/>
        </w:rPr>
      </w:pPr>
      <w:r>
        <w:rPr>
          <w:rFonts w:ascii="Calibri" w:hAnsi="Calibri"/>
        </w:rPr>
        <w:t xml:space="preserve">We </w:t>
      </w:r>
      <w:proofErr w:type="spellStart"/>
      <w:r>
        <w:rPr>
          <w:rFonts w:ascii="Calibri" w:hAnsi="Calibri"/>
        </w:rPr>
        <w:t>hypothesise</w:t>
      </w:r>
      <w:proofErr w:type="spellEnd"/>
      <w:r>
        <w:rPr>
          <w:rFonts w:ascii="Calibri" w:hAnsi="Calibri"/>
        </w:rPr>
        <w:t xml:space="preserve"> that</w:t>
      </w:r>
      <w:r w:rsidR="00325113">
        <w:rPr>
          <w:rFonts w:ascii="Calibri" w:hAnsi="Calibri"/>
        </w:rPr>
        <w:t xml:space="preserve"> these new imaging tool</w:t>
      </w:r>
      <w:r w:rsidR="000D6A1A">
        <w:rPr>
          <w:rFonts w:ascii="Calibri" w:hAnsi="Calibri"/>
        </w:rPr>
        <w:t xml:space="preserve">s will allow the visualization </w:t>
      </w:r>
      <w:r w:rsidR="00325113">
        <w:rPr>
          <w:rFonts w:ascii="Calibri" w:hAnsi="Calibri"/>
        </w:rPr>
        <w:t>and qua</w:t>
      </w:r>
      <w:r w:rsidR="000D6A1A">
        <w:rPr>
          <w:rFonts w:ascii="Calibri" w:hAnsi="Calibri"/>
        </w:rPr>
        <w:t>ntification</w:t>
      </w:r>
      <w:r w:rsidR="00325113">
        <w:rPr>
          <w:rFonts w:ascii="Calibri" w:hAnsi="Calibri"/>
        </w:rPr>
        <w:t xml:space="preserve"> of </w:t>
      </w:r>
      <w:proofErr w:type="spellStart"/>
      <w:r w:rsidR="00325113">
        <w:rPr>
          <w:rFonts w:ascii="Calibri" w:hAnsi="Calibri"/>
        </w:rPr>
        <w:t>microvenous</w:t>
      </w:r>
      <w:proofErr w:type="spellEnd"/>
      <w:r w:rsidR="00325113">
        <w:rPr>
          <w:rFonts w:ascii="Calibri" w:hAnsi="Calibri"/>
        </w:rPr>
        <w:t xml:space="preserve"> reflux (i.e., re</w:t>
      </w:r>
      <w:r w:rsidR="000D6A1A">
        <w:rPr>
          <w:rFonts w:ascii="Calibri" w:hAnsi="Calibri"/>
        </w:rPr>
        <w:t xml:space="preserve">flux in the tiny skin vessels) which has </w:t>
      </w:r>
      <w:r w:rsidR="00325113">
        <w:rPr>
          <w:rFonts w:ascii="Calibri" w:hAnsi="Calibri"/>
        </w:rPr>
        <w:t>previously</w:t>
      </w:r>
      <w:r w:rsidR="000D6A1A">
        <w:rPr>
          <w:rFonts w:ascii="Calibri" w:hAnsi="Calibri"/>
        </w:rPr>
        <w:t xml:space="preserve"> been</w:t>
      </w:r>
      <w:r w:rsidR="00325113">
        <w:rPr>
          <w:rFonts w:ascii="Calibri" w:hAnsi="Calibri"/>
        </w:rPr>
        <w:t xml:space="preserve"> unseen using st</w:t>
      </w:r>
      <w:r w:rsidR="00D94C91">
        <w:rPr>
          <w:rFonts w:ascii="Calibri" w:hAnsi="Calibri"/>
        </w:rPr>
        <w:t>andard ultrasound technologies</w:t>
      </w:r>
      <w:r w:rsidR="00A34E06">
        <w:rPr>
          <w:rFonts w:ascii="Calibri" w:hAnsi="Calibri"/>
        </w:rPr>
        <w:t xml:space="preserve">, and that the results of this imaging will correlate with </w:t>
      </w:r>
      <w:proofErr w:type="spellStart"/>
      <w:r w:rsidR="00A34E06">
        <w:rPr>
          <w:rFonts w:ascii="Calibri" w:hAnsi="Calibri"/>
        </w:rPr>
        <w:t>microvenous</w:t>
      </w:r>
      <w:proofErr w:type="spellEnd"/>
      <w:r w:rsidR="00A34E06">
        <w:rPr>
          <w:rFonts w:ascii="Calibri" w:hAnsi="Calibri"/>
        </w:rPr>
        <w:t xml:space="preserve"> insufficiencies seen in retrograde resin casting. </w:t>
      </w:r>
      <w:r w:rsidR="00325113">
        <w:rPr>
          <w:rFonts w:ascii="Calibri" w:hAnsi="Calibri"/>
        </w:rPr>
        <w:t xml:space="preserve">This </w:t>
      </w:r>
      <w:r>
        <w:rPr>
          <w:rFonts w:ascii="Calibri" w:hAnsi="Calibri"/>
        </w:rPr>
        <w:t xml:space="preserve">may give us further insight into understanding how venous insufficiency leads to skin damage. </w:t>
      </w:r>
      <w:r>
        <w:rPr>
          <w:rFonts w:ascii="Calibri" w:hAnsi="Calibri"/>
        </w:rPr>
        <w:br/>
      </w:r>
      <w:r>
        <w:rPr>
          <w:rFonts w:ascii="Calibri" w:hAnsi="Calibri"/>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594D49" w:rsidRPr="00A85596" w14:paraId="50382E38" w14:textId="77777777" w:rsidTr="00594D49">
        <w:tc>
          <w:tcPr>
            <w:tcW w:w="8516" w:type="dxa"/>
            <w:shd w:val="clear" w:color="auto" w:fill="C6D9F1" w:themeFill="text2" w:themeFillTint="33"/>
          </w:tcPr>
          <w:p w14:paraId="2CE45FB3" w14:textId="4E49F86D" w:rsidR="00594D49" w:rsidRPr="00A85596" w:rsidRDefault="00594D49" w:rsidP="00594D49">
            <w:pPr>
              <w:pStyle w:val="Heading1"/>
            </w:pPr>
            <w:r>
              <w:br/>
            </w:r>
            <w:bookmarkStart w:id="10" w:name="_Toc321646575"/>
            <w:bookmarkStart w:id="11" w:name="_Toc321646658"/>
            <w:r>
              <w:t>4. Contrast Agent</w:t>
            </w:r>
            <w:bookmarkEnd w:id="10"/>
            <w:bookmarkEnd w:id="11"/>
          </w:p>
        </w:tc>
      </w:tr>
    </w:tbl>
    <w:p w14:paraId="1651EC2B" w14:textId="519A7EE3" w:rsidR="00594D49" w:rsidRDefault="00594D49" w:rsidP="00594D49">
      <w:pPr>
        <w:rPr>
          <w:rFonts w:ascii="Calibri" w:hAnsi="Calibri"/>
        </w:rPr>
      </w:pPr>
      <w:r w:rsidRPr="0089130B">
        <w:rPr>
          <w:rStyle w:val="Heading2Char"/>
          <w:rFonts w:eastAsiaTheme="minorEastAsia"/>
        </w:rPr>
        <w:br/>
        <w:t>4.1 Description</w:t>
      </w:r>
      <w:r w:rsidR="00424D08">
        <w:rPr>
          <w:rStyle w:val="Heading2Char"/>
          <w:rFonts w:eastAsiaTheme="minorEastAsia"/>
        </w:rPr>
        <w:t xml:space="preserve"> </w:t>
      </w:r>
      <w:r w:rsidR="00424D08">
        <w:rPr>
          <w:rStyle w:val="Heading2Char"/>
          <w:rFonts w:eastAsiaTheme="minorEastAsia"/>
          <w:color w:val="00B0F0"/>
        </w:rPr>
        <w:t>I include this info about ICG because the SMI protocol did. Is it really necessary to provide this much info on ICG?</w:t>
      </w:r>
      <w:r w:rsidRPr="0089130B">
        <w:rPr>
          <w:rStyle w:val="Heading2Char"/>
          <w:rFonts w:eastAsiaTheme="minorEastAsia"/>
        </w:rPr>
        <w:br/>
      </w:r>
      <w:r>
        <w:rPr>
          <w:rFonts w:ascii="Calibri" w:hAnsi="Calibri"/>
        </w:rPr>
        <w:br/>
      </w:r>
      <w:r w:rsidRPr="00A85596">
        <w:rPr>
          <w:rFonts w:ascii="Calibri" w:hAnsi="Calibri"/>
          <w:b/>
        </w:rPr>
        <w:t>ICG-PULSION</w:t>
      </w:r>
      <w:r>
        <w:rPr>
          <w:rFonts w:ascii="Calibri" w:hAnsi="Calibri"/>
        </w:rPr>
        <w:t xml:space="preserve"> </w:t>
      </w:r>
      <w:r>
        <w:rPr>
          <w:rFonts w:ascii="Calibri" w:hAnsi="Calibri"/>
        </w:rPr>
        <w:br/>
      </w:r>
      <w:proofErr w:type="spellStart"/>
      <w:r w:rsidRPr="00A85596">
        <w:rPr>
          <w:rFonts w:ascii="Calibri" w:hAnsi="Calibri"/>
          <w:b/>
        </w:rPr>
        <w:t>Indocyanine</w:t>
      </w:r>
      <w:proofErr w:type="spellEnd"/>
      <w:r w:rsidRPr="00A85596">
        <w:rPr>
          <w:rFonts w:ascii="Calibri" w:hAnsi="Calibri"/>
          <w:b/>
        </w:rPr>
        <w:t xml:space="preserve"> Green</w:t>
      </w:r>
      <w:r w:rsidR="00702244">
        <w:rPr>
          <w:rFonts w:ascii="Calibri" w:hAnsi="Calibri"/>
          <w:b/>
        </w:rPr>
        <w:t xml:space="preserve"> (ICG)</w:t>
      </w:r>
      <w:r w:rsidRPr="00A85596">
        <w:rPr>
          <w:rFonts w:ascii="Calibri" w:hAnsi="Calibri"/>
          <w:b/>
        </w:rPr>
        <w:t xml:space="preserve"> Monosodium Salt Powder for Solution for Injection</w:t>
      </w:r>
      <w:r>
        <w:rPr>
          <w:rFonts w:ascii="Calibri" w:hAnsi="Calibri"/>
        </w:rPr>
        <w:br/>
      </w:r>
      <w:r w:rsidRPr="009947A9">
        <w:rPr>
          <w:rFonts w:ascii="Calibri" w:hAnsi="Calibri"/>
          <w:i/>
          <w:sz w:val="20"/>
        </w:rPr>
        <w:t xml:space="preserve">Spy has a penetration depth of 5 mm. </w:t>
      </w:r>
      <w:r w:rsidRPr="009947A9">
        <w:rPr>
          <w:rFonts w:ascii="Calibri" w:hAnsi="Calibri"/>
          <w:i/>
          <w:sz w:val="20"/>
        </w:rPr>
        <w:br/>
        <w:t>Half-life in vial is 6 hours following dissolution.</w:t>
      </w:r>
      <w:r w:rsidRPr="009947A9">
        <w:rPr>
          <w:rFonts w:ascii="Calibri" w:hAnsi="Calibri"/>
          <w:i/>
          <w:sz w:val="20"/>
        </w:rPr>
        <w:br/>
        <w:t>Half-life systemically is ~3 minutes.</w:t>
      </w:r>
    </w:p>
    <w:p w14:paraId="5FDDEE95" w14:textId="49008A1D" w:rsidR="00594D49" w:rsidRPr="00204836" w:rsidRDefault="00594D49" w:rsidP="00594D49">
      <w:pPr>
        <w:pStyle w:val="Heading2"/>
      </w:pPr>
      <w:r>
        <w:br/>
      </w:r>
      <w:bookmarkStart w:id="12" w:name="_Toc321646576"/>
      <w:r>
        <w:t>4</w:t>
      </w:r>
      <w:r w:rsidRPr="00204836">
        <w:t xml:space="preserve">.2 Pharmacology and </w:t>
      </w:r>
      <w:proofErr w:type="spellStart"/>
      <w:r w:rsidRPr="00204836">
        <w:t>Pharmokinetics</w:t>
      </w:r>
      <w:bookmarkEnd w:id="12"/>
      <w:proofErr w:type="spellEnd"/>
    </w:p>
    <w:p w14:paraId="626332D2" w14:textId="4B0D0F23" w:rsidR="00594D49" w:rsidRPr="00B270C5" w:rsidRDefault="00594D49" w:rsidP="00594D49">
      <w:pPr>
        <w:rPr>
          <w:rFonts w:ascii="Calibri" w:hAnsi="Calibri"/>
          <w:i/>
        </w:rPr>
      </w:pPr>
      <w:r>
        <w:rPr>
          <w:rFonts w:ascii="Calibri" w:hAnsi="Calibri"/>
        </w:rPr>
        <w:br/>
      </w:r>
      <w:r w:rsidRPr="00D209AF">
        <w:rPr>
          <w:rFonts w:ascii="Calibri" w:hAnsi="Calibri"/>
          <w:b/>
          <w:i/>
        </w:rPr>
        <w:t>Pharmacology:</w:t>
      </w:r>
      <w:r>
        <w:rPr>
          <w:rFonts w:ascii="Calibri" w:hAnsi="Calibri"/>
        </w:rPr>
        <w:t xml:space="preserve"> The active substance or dye stuff </w:t>
      </w:r>
      <w:proofErr w:type="spellStart"/>
      <w:r>
        <w:rPr>
          <w:rFonts w:ascii="Calibri" w:hAnsi="Calibri"/>
        </w:rPr>
        <w:t>indocyanine</w:t>
      </w:r>
      <w:proofErr w:type="spellEnd"/>
      <w:r>
        <w:rPr>
          <w:rFonts w:ascii="Calibri" w:hAnsi="Calibri"/>
        </w:rPr>
        <w:t xml:space="preserve"> green contained in ICG-PULSION is the monosodium salt of 1 </w:t>
      </w:r>
      <w:proofErr w:type="gramStart"/>
      <w:r>
        <w:rPr>
          <w:rFonts w:ascii="Calibri" w:hAnsi="Calibri"/>
        </w:rPr>
        <w:t>–[</w:t>
      </w:r>
      <w:proofErr w:type="gramEnd"/>
      <w:r>
        <w:rPr>
          <w:rFonts w:ascii="Calibri" w:hAnsi="Calibri"/>
        </w:rPr>
        <w:t xml:space="preserve">sulfo-butyl)-3.3-dimethyl-2-{7-[-[(4-sulfo-butyl)-3.3-dimethyl-4.5-benzoindoliny-liden-(2)]-heptatrien(1.3.5)-yl}4.5 </w:t>
      </w:r>
      <w:proofErr w:type="spellStart"/>
      <w:r>
        <w:rPr>
          <w:rFonts w:ascii="Calibri" w:hAnsi="Calibri"/>
        </w:rPr>
        <w:t>benzoindolium</w:t>
      </w:r>
      <w:proofErr w:type="spellEnd"/>
      <w:r>
        <w:rPr>
          <w:rFonts w:ascii="Calibri" w:hAnsi="Calibri"/>
        </w:rPr>
        <w:t xml:space="preserve"> iodide. The molecular formula is C</w:t>
      </w:r>
      <w:r>
        <w:rPr>
          <w:rFonts w:ascii="Calibri" w:hAnsi="Calibri"/>
          <w:vertAlign w:val="subscript"/>
        </w:rPr>
        <w:t>43</w:t>
      </w:r>
      <w:r>
        <w:rPr>
          <w:rFonts w:ascii="Calibri" w:hAnsi="Calibri"/>
        </w:rPr>
        <w:t>H</w:t>
      </w:r>
      <w:r>
        <w:rPr>
          <w:rFonts w:ascii="Calibri" w:hAnsi="Calibri"/>
          <w:vertAlign w:val="subscript"/>
        </w:rPr>
        <w:t>47</w:t>
      </w:r>
      <w:r>
        <w:rPr>
          <w:rFonts w:ascii="Calibri" w:hAnsi="Calibri"/>
        </w:rPr>
        <w:t>N</w:t>
      </w:r>
      <w:r>
        <w:rPr>
          <w:rFonts w:ascii="Calibri" w:hAnsi="Calibri"/>
          <w:vertAlign w:val="subscript"/>
        </w:rPr>
        <w:t>2</w:t>
      </w:r>
      <w:r>
        <w:rPr>
          <w:rFonts w:ascii="Calibri" w:hAnsi="Calibri"/>
        </w:rPr>
        <w:t>NO</w:t>
      </w:r>
      <w:r>
        <w:rPr>
          <w:rFonts w:ascii="Calibri" w:hAnsi="Calibri"/>
          <w:vertAlign w:val="subscript"/>
        </w:rPr>
        <w:t>6</w:t>
      </w:r>
      <w:r>
        <w:rPr>
          <w:rFonts w:ascii="Calibri" w:hAnsi="Calibri"/>
        </w:rPr>
        <w:t>S</w:t>
      </w:r>
      <w:r>
        <w:rPr>
          <w:rFonts w:ascii="Calibri" w:hAnsi="Calibri"/>
          <w:vertAlign w:val="subscript"/>
        </w:rPr>
        <w:t>2</w:t>
      </w:r>
      <w:r w:rsidR="00702244">
        <w:rPr>
          <w:rFonts w:ascii="Calibri" w:hAnsi="Calibri"/>
        </w:rPr>
        <w:t xml:space="preserve">. </w:t>
      </w:r>
      <w:r>
        <w:rPr>
          <w:rFonts w:ascii="Calibri" w:hAnsi="Calibri"/>
        </w:rPr>
        <w:t xml:space="preserve">The molecular weight is 774.97 </w:t>
      </w:r>
      <w:proofErr w:type="spellStart"/>
      <w:r>
        <w:rPr>
          <w:rFonts w:ascii="Calibri" w:hAnsi="Calibri"/>
        </w:rPr>
        <w:t>daltons</w:t>
      </w:r>
      <w:proofErr w:type="spellEnd"/>
      <w:r>
        <w:rPr>
          <w:rFonts w:ascii="Calibri" w:hAnsi="Calibri"/>
        </w:rPr>
        <w:t xml:space="preserve">.  </w:t>
      </w:r>
      <w:r>
        <w:rPr>
          <w:rFonts w:ascii="Calibri" w:hAnsi="Calibri"/>
        </w:rPr>
        <w:br/>
      </w:r>
      <w:r>
        <w:rPr>
          <w:rFonts w:ascii="Calibri" w:hAnsi="Calibri"/>
        </w:rPr>
        <w:br/>
      </w:r>
      <w:proofErr w:type="spellStart"/>
      <w:r w:rsidRPr="00D209AF">
        <w:rPr>
          <w:rFonts w:ascii="Calibri" w:hAnsi="Calibri"/>
          <w:b/>
          <w:i/>
        </w:rPr>
        <w:t>Pharmokinetics</w:t>
      </w:r>
      <w:proofErr w:type="spellEnd"/>
      <w:r w:rsidRPr="00D209AF">
        <w:rPr>
          <w:rFonts w:ascii="Calibri" w:hAnsi="Calibri"/>
          <w:b/>
          <w:i/>
        </w:rPr>
        <w:t>:</w:t>
      </w:r>
      <w:r>
        <w:rPr>
          <w:rFonts w:ascii="Calibri" w:hAnsi="Calibri"/>
        </w:rPr>
        <w:t xml:space="preserve"> After intravenous injection </w:t>
      </w:r>
      <w:proofErr w:type="spellStart"/>
      <w:r>
        <w:rPr>
          <w:rFonts w:ascii="Calibri" w:hAnsi="Calibri"/>
        </w:rPr>
        <w:t>indocyanine</w:t>
      </w:r>
      <w:proofErr w:type="spellEnd"/>
      <w:r>
        <w:rPr>
          <w:rFonts w:ascii="Calibri" w:hAnsi="Calibri"/>
        </w:rPr>
        <w:t xml:space="preserve"> green binds almost completely to globulins, preferentially to α</w:t>
      </w:r>
      <w:r>
        <w:rPr>
          <w:rFonts w:ascii="Calibri" w:hAnsi="Calibri"/>
          <w:vertAlign w:val="subscript"/>
        </w:rPr>
        <w:t>1</w:t>
      </w:r>
      <w:r>
        <w:rPr>
          <w:rFonts w:ascii="Calibri" w:hAnsi="Calibri"/>
        </w:rPr>
        <w:t xml:space="preserve">-lipoproteins, within 1 - 2 seconds. This complete binding within seconds means that uptake by the peripheral </w:t>
      </w:r>
      <w:proofErr w:type="gramStart"/>
      <w:r>
        <w:rPr>
          <w:rFonts w:ascii="Calibri" w:hAnsi="Calibri"/>
        </w:rPr>
        <w:t>tissues,</w:t>
      </w:r>
      <w:proofErr w:type="gramEnd"/>
      <w:r>
        <w:rPr>
          <w:rFonts w:ascii="Calibri" w:hAnsi="Calibri"/>
        </w:rPr>
        <w:t xml:space="preserve"> kidney or lung can be practically ruled out and is therefore negligible. In healthy volunteers </w:t>
      </w:r>
      <w:proofErr w:type="spellStart"/>
      <w:r>
        <w:rPr>
          <w:rFonts w:ascii="Calibri" w:hAnsi="Calibri"/>
        </w:rPr>
        <w:t>indocyanine</w:t>
      </w:r>
      <w:proofErr w:type="spellEnd"/>
      <w:r>
        <w:rPr>
          <w:rFonts w:ascii="Calibri" w:hAnsi="Calibri"/>
        </w:rPr>
        <w:t xml:space="preserve"> green cannot be detected in either urine or cerebrospinal fluid and it does not cross the placenta. </w:t>
      </w:r>
      <w:r>
        <w:rPr>
          <w:rFonts w:ascii="Calibri" w:hAnsi="Calibri"/>
        </w:rPr>
        <w:br/>
        <w:t xml:space="preserve">In patients with normal liver function, elimination of the dye from the blood takes </w:t>
      </w:r>
      <w:r>
        <w:rPr>
          <w:rFonts w:ascii="Calibri" w:hAnsi="Calibri"/>
        </w:rPr>
        <w:lastRenderedPageBreak/>
        <w:t xml:space="preserve">place in the form of a negative exponential function. After 10 minutes only a small fraction of the originally injected volume is detectable in the blood. </w:t>
      </w:r>
      <w:proofErr w:type="spellStart"/>
      <w:r>
        <w:rPr>
          <w:rFonts w:ascii="Calibri" w:hAnsi="Calibri"/>
        </w:rPr>
        <w:t>Indocyanine</w:t>
      </w:r>
      <w:proofErr w:type="spellEnd"/>
      <w:r>
        <w:rPr>
          <w:rFonts w:ascii="Calibri" w:hAnsi="Calibri"/>
        </w:rPr>
        <w:t xml:space="preserve"> green is eliminated almost entirely via the liver. It is taken up by the parenchymal cells of the liver, bound by acceptor proteins and eliminated with the bile. The dye undergoes no chemical change on passage through the liver. 15 minutes after passage into the bloodstream </w:t>
      </w:r>
      <w:proofErr w:type="spellStart"/>
      <w:r>
        <w:rPr>
          <w:rFonts w:ascii="Calibri" w:hAnsi="Calibri"/>
        </w:rPr>
        <w:t>indocyanine</w:t>
      </w:r>
      <w:proofErr w:type="spellEnd"/>
      <w:r>
        <w:rPr>
          <w:rFonts w:ascii="Calibri" w:hAnsi="Calibri"/>
        </w:rPr>
        <w:t xml:space="preserve"> green is already detectable in the bile, the concentration maximum is reached after about ½ - 2 hours depending on the amount injected. As </w:t>
      </w:r>
      <w:proofErr w:type="spellStart"/>
      <w:r>
        <w:rPr>
          <w:rFonts w:ascii="Calibri" w:hAnsi="Calibri"/>
        </w:rPr>
        <w:t>indocyanine</w:t>
      </w:r>
      <w:proofErr w:type="spellEnd"/>
      <w:r>
        <w:rPr>
          <w:rFonts w:ascii="Calibri" w:hAnsi="Calibri"/>
        </w:rPr>
        <w:t xml:space="preserve"> green is not reabsorbed in the intestine there is no enterohepatic circulation. </w:t>
      </w:r>
      <w:r>
        <w:rPr>
          <w:rFonts w:ascii="Calibri" w:hAnsi="Calibri"/>
        </w:rPr>
        <w:br/>
      </w:r>
      <w:r>
        <w:rPr>
          <w:rFonts w:ascii="Calibri" w:hAnsi="Calibri"/>
        </w:rPr>
        <w:br/>
      </w:r>
      <w:r w:rsidRPr="00B270C5">
        <w:rPr>
          <w:rFonts w:ascii="Calibri" w:hAnsi="Calibri"/>
          <w:b/>
          <w:i/>
        </w:rPr>
        <w:t>Composition of the drug:</w:t>
      </w:r>
      <w:r w:rsidRPr="00B270C5">
        <w:rPr>
          <w:rFonts w:ascii="Calibri" w:hAnsi="Calibri"/>
        </w:rPr>
        <w:t xml:space="preserve"> Active ingredients in type and amount: One vial contains </w:t>
      </w:r>
      <w:r w:rsidRPr="006679B9">
        <w:rPr>
          <w:rFonts w:ascii="Calibri" w:hAnsi="Calibri"/>
        </w:rPr>
        <w:t>25 mg</w:t>
      </w:r>
      <w:r w:rsidRPr="00B270C5">
        <w:rPr>
          <w:rFonts w:ascii="Calibri" w:hAnsi="Calibri"/>
        </w:rPr>
        <w:t xml:space="preserve"> </w:t>
      </w:r>
      <w:proofErr w:type="spellStart"/>
      <w:r w:rsidRPr="00B270C5">
        <w:rPr>
          <w:rFonts w:ascii="Calibri" w:hAnsi="Calibri"/>
        </w:rPr>
        <w:t>indocyanine</w:t>
      </w:r>
      <w:proofErr w:type="spellEnd"/>
      <w:r w:rsidRPr="00B270C5">
        <w:rPr>
          <w:rFonts w:ascii="Calibri" w:hAnsi="Calibri"/>
        </w:rPr>
        <w:t xml:space="preserve"> gree</w:t>
      </w:r>
      <w:r w:rsidR="00F0162D" w:rsidRPr="00B270C5">
        <w:rPr>
          <w:rFonts w:ascii="Calibri" w:hAnsi="Calibri"/>
        </w:rPr>
        <w:t>n</w:t>
      </w:r>
      <w:r w:rsidRPr="00B270C5">
        <w:rPr>
          <w:rFonts w:ascii="Calibri" w:hAnsi="Calibri"/>
        </w:rPr>
        <w:t xml:space="preserve"> monosodium salt. </w:t>
      </w:r>
      <w:r w:rsidRPr="00B270C5">
        <w:rPr>
          <w:rFonts w:ascii="Calibri" w:hAnsi="Calibri"/>
        </w:rPr>
        <w:br/>
      </w:r>
      <w:r w:rsidRPr="00B270C5">
        <w:rPr>
          <w:rFonts w:ascii="Calibri" w:hAnsi="Calibri"/>
        </w:rPr>
        <w:br/>
      </w:r>
      <w:r w:rsidRPr="00B270C5">
        <w:rPr>
          <w:rFonts w:ascii="Calibri" w:hAnsi="Calibri"/>
          <w:b/>
          <w:i/>
        </w:rPr>
        <w:t>Other important ingredients (excipients):</w:t>
      </w:r>
      <w:r w:rsidRPr="00B270C5">
        <w:rPr>
          <w:rFonts w:ascii="Calibri" w:hAnsi="Calibri"/>
        </w:rPr>
        <w:t xml:space="preserve"> Nitrogen used as an inert gas. </w:t>
      </w:r>
      <w:r w:rsidRPr="00B270C5">
        <w:rPr>
          <w:rFonts w:ascii="Calibri" w:hAnsi="Calibri"/>
          <w:highlight w:val="yellow"/>
        </w:rPr>
        <w:br/>
      </w:r>
      <w:r w:rsidRPr="00B270C5">
        <w:rPr>
          <w:rFonts w:ascii="Calibri" w:hAnsi="Calibri"/>
          <w:highlight w:val="yellow"/>
        </w:rPr>
        <w:br/>
      </w:r>
    </w:p>
    <w:p w14:paraId="12A18D97" w14:textId="14D60575" w:rsidR="00594D49" w:rsidRDefault="00594D49" w:rsidP="00594D49">
      <w:pPr>
        <w:rPr>
          <w:rFonts w:ascii="Calibri" w:eastAsia="Times New Roman" w:hAnsi="Calibri" w:cs="Times New Roman"/>
          <w:b/>
          <w:lang w:val="en-NZ"/>
        </w:rPr>
      </w:pPr>
      <w:r>
        <w:rPr>
          <w:rStyle w:val="Heading2Char"/>
          <w:rFonts w:eastAsiaTheme="minorEastAsia"/>
        </w:rPr>
        <w:t>4</w:t>
      </w:r>
      <w:r w:rsidRPr="00204836">
        <w:rPr>
          <w:rStyle w:val="Heading2Char"/>
          <w:rFonts w:eastAsiaTheme="minorEastAsia"/>
        </w:rPr>
        <w:t>.3 Contraindications and side effects</w:t>
      </w:r>
      <w:r>
        <w:rPr>
          <w:rFonts w:ascii="Calibri" w:hAnsi="Calibri"/>
          <w:b/>
          <w:sz w:val="26"/>
          <w:szCs w:val="26"/>
        </w:rPr>
        <w:br/>
      </w:r>
      <w:r>
        <w:rPr>
          <w:rFonts w:ascii="Calibri" w:hAnsi="Calibri"/>
        </w:rPr>
        <w:br/>
      </w:r>
      <w:r w:rsidRPr="00D209AF">
        <w:rPr>
          <w:rFonts w:ascii="Calibri" w:hAnsi="Calibri"/>
          <w:b/>
          <w:i/>
        </w:rPr>
        <w:t>Contraindications:</w:t>
      </w:r>
      <w:r>
        <w:rPr>
          <w:rFonts w:ascii="Calibri" w:hAnsi="Calibri"/>
        </w:rPr>
        <w:t xml:space="preserve"> As in vitro experiments have shown that </w:t>
      </w:r>
      <w:proofErr w:type="spellStart"/>
      <w:r>
        <w:rPr>
          <w:rFonts w:ascii="Calibri" w:hAnsi="Calibri"/>
        </w:rPr>
        <w:t>indocyanine</w:t>
      </w:r>
      <w:proofErr w:type="spellEnd"/>
      <w:r>
        <w:rPr>
          <w:rFonts w:ascii="Calibri" w:hAnsi="Calibri"/>
        </w:rPr>
        <w:t xml:space="preserve"> green displaces bilirubin from its protein binding ICG-PULSION should not be used in premature infants or neonates in whom an exchange transfusion is indicated on account of </w:t>
      </w:r>
      <w:proofErr w:type="spellStart"/>
      <w:r>
        <w:rPr>
          <w:rFonts w:ascii="Calibri" w:hAnsi="Calibri"/>
        </w:rPr>
        <w:t>hyperbilirubinaemia</w:t>
      </w:r>
      <w:proofErr w:type="spellEnd"/>
      <w:r>
        <w:rPr>
          <w:rFonts w:ascii="Calibri" w:hAnsi="Calibri"/>
        </w:rPr>
        <w:t>. On account of its iodide content ICG-PULSION should not be used in patients allergic to iodine unless special precautions are taken. If injection of ICG-PULSION was poorly tolerated in the past</w:t>
      </w:r>
      <w:r w:rsidR="00424D08">
        <w:rPr>
          <w:rFonts w:ascii="Calibri" w:hAnsi="Calibri"/>
        </w:rPr>
        <w:t>,</w:t>
      </w:r>
      <w:r>
        <w:rPr>
          <w:rFonts w:ascii="Calibri" w:hAnsi="Calibri"/>
        </w:rPr>
        <w:t xml:space="preserve"> it should not be used again.</w:t>
      </w:r>
      <w:r>
        <w:rPr>
          <w:rFonts w:ascii="Calibri" w:hAnsi="Calibri"/>
        </w:rPr>
        <w:br/>
      </w:r>
      <w:r>
        <w:rPr>
          <w:rFonts w:ascii="Calibri" w:hAnsi="Calibri"/>
        </w:rPr>
        <w:br/>
      </w:r>
      <w:r w:rsidRPr="00D209AF">
        <w:rPr>
          <w:rFonts w:ascii="Calibri" w:hAnsi="Calibri"/>
          <w:b/>
          <w:i/>
        </w:rPr>
        <w:t>Side-effects:</w:t>
      </w:r>
      <w:r>
        <w:rPr>
          <w:rFonts w:ascii="Calibri" w:hAnsi="Calibri"/>
        </w:rPr>
        <w:t xml:space="preserve"> Anaphylactic or urticarial reactions have also been reported in patients with a history of allergy to iodides. If such reactions occur, treat with appropriate agents, (</w:t>
      </w:r>
      <w:proofErr w:type="spellStart"/>
      <w:r>
        <w:rPr>
          <w:rFonts w:ascii="Calibri" w:hAnsi="Calibri"/>
        </w:rPr>
        <w:t>eg</w:t>
      </w:r>
      <w:proofErr w:type="spellEnd"/>
      <w:r>
        <w:rPr>
          <w:rFonts w:ascii="Calibri" w:hAnsi="Calibri"/>
        </w:rPr>
        <w:t xml:space="preserve"> epinephrine {adrenaline}, antihistamines and corticosteroids).  </w:t>
      </w:r>
      <w:r>
        <w:rPr>
          <w:rFonts w:ascii="Calibri" w:hAnsi="Calibri"/>
        </w:rPr>
        <w:br/>
      </w:r>
    </w:p>
    <w:p w14:paraId="5AC19187" w14:textId="75C6B410" w:rsidR="00594D49" w:rsidRDefault="00594D49" w:rsidP="00594D49">
      <w:pPr>
        <w:rPr>
          <w:rFonts w:ascii="Calibri" w:eastAsia="Times New Roman" w:hAnsi="Calibri" w:cs="Times New Roman"/>
          <w:lang w:val="en-NZ"/>
        </w:rPr>
      </w:pPr>
      <w:r w:rsidRPr="00D209AF">
        <w:rPr>
          <w:rFonts w:ascii="Calibri" w:hAnsi="Calibri"/>
          <w:b/>
          <w:i/>
        </w:rPr>
        <w:t>Possible side effects:</w:t>
      </w:r>
      <w:r>
        <w:rPr>
          <w:rFonts w:ascii="Calibri" w:hAnsi="Calibri"/>
        </w:rPr>
        <w:t xml:space="preserve"> </w:t>
      </w:r>
      <w:r>
        <w:rPr>
          <w:rFonts w:ascii="Calibri" w:hAnsi="Calibri"/>
        </w:rPr>
        <w:br/>
      </w:r>
      <w:r w:rsidRPr="00394A5C">
        <w:rPr>
          <w:rFonts w:ascii="Calibri" w:hAnsi="Calibri"/>
        </w:rPr>
        <w:t xml:space="preserve">In very rare cases, after the injection of preparations containing </w:t>
      </w:r>
      <w:proofErr w:type="spellStart"/>
      <w:r w:rsidRPr="00394A5C">
        <w:rPr>
          <w:rFonts w:ascii="Calibri" w:hAnsi="Calibri"/>
        </w:rPr>
        <w:t>indocyanine</w:t>
      </w:r>
      <w:proofErr w:type="spellEnd"/>
      <w:r w:rsidRPr="00394A5C">
        <w:rPr>
          <w:rFonts w:ascii="Calibri" w:hAnsi="Calibri"/>
        </w:rPr>
        <w:t xml:space="preserve"> green, nausea and hypersensitivity reactions (allergies) may occur. The probability of an allergic reaction occurring seems to be higher in patients with severely disturbed kidney function. </w:t>
      </w:r>
      <w:r w:rsidRPr="00394A5C">
        <w:rPr>
          <w:rFonts w:ascii="Calibri" w:hAnsi="Calibri"/>
        </w:rPr>
        <w:br/>
        <w:t xml:space="preserve">The following symptoms or adverse events may occur: restlessness, hot flushes, nausea, itching, hives (skin rash), faster </w:t>
      </w:r>
      <w:proofErr w:type="spellStart"/>
      <w:r w:rsidRPr="00394A5C">
        <w:rPr>
          <w:rFonts w:ascii="Calibri" w:hAnsi="Calibri"/>
        </w:rPr>
        <w:t>heart beat</w:t>
      </w:r>
      <w:proofErr w:type="spellEnd"/>
      <w:r w:rsidRPr="00394A5C">
        <w:rPr>
          <w:rFonts w:ascii="Calibri" w:hAnsi="Calibri"/>
        </w:rPr>
        <w:t xml:space="preserve">, facial redness, swelling of the face (facial </w:t>
      </w:r>
      <w:proofErr w:type="spellStart"/>
      <w:r w:rsidRPr="00394A5C">
        <w:rPr>
          <w:rFonts w:ascii="Calibri" w:hAnsi="Calibri"/>
        </w:rPr>
        <w:t>oedema</w:t>
      </w:r>
      <w:proofErr w:type="spellEnd"/>
      <w:r w:rsidRPr="00394A5C">
        <w:rPr>
          <w:rFonts w:ascii="Calibri" w:hAnsi="Calibri"/>
        </w:rPr>
        <w:t>), drop in blood pressure, shortness of breath, spasms of the bronchia and larynx, cardiac/circulatory arrest, death. An increase in certain white blood corpuscles may occur in connection with the allergic reaction. In very rare cases, spasm of the coronary vessels has been described. Skin symptoms similar to hives have been described very rarely.</w:t>
      </w:r>
      <w:r w:rsidRPr="00921BC2">
        <w:rPr>
          <w:rFonts w:ascii="Calibri" w:hAnsi="Calibri"/>
          <w:sz w:val="20"/>
        </w:rPr>
        <w:t xml:space="preserve"> </w:t>
      </w:r>
      <w:r>
        <w:rPr>
          <w:rFonts w:ascii="Calibri" w:hAnsi="Calibri"/>
          <w:sz w:val="20"/>
        </w:rPr>
        <w:br/>
      </w:r>
      <w:r>
        <w:rPr>
          <w:rFonts w:ascii="Calibri" w:hAnsi="Calibri"/>
        </w:rPr>
        <w:br/>
      </w:r>
      <w:r w:rsidRPr="00D209AF">
        <w:rPr>
          <w:rFonts w:ascii="Calibri" w:eastAsia="Times New Roman" w:hAnsi="Calibri" w:cs="Times New Roman"/>
          <w:b/>
          <w:i/>
          <w:lang w:val="en-NZ"/>
        </w:rPr>
        <w:t>Major incompatibilities:</w:t>
      </w:r>
      <w:r>
        <w:rPr>
          <w:rFonts w:ascii="Calibri" w:eastAsia="Times New Roman" w:hAnsi="Calibri" w:cs="Times New Roman"/>
          <w:lang w:val="en-NZ"/>
        </w:rPr>
        <w:t xml:space="preserve"> </w:t>
      </w:r>
      <w:r w:rsidRPr="0078403A">
        <w:rPr>
          <w:rFonts w:ascii="Calibri" w:eastAsia="Times New Roman" w:hAnsi="Calibri" w:cs="Times New Roman"/>
          <w:lang w:val="en-NZ"/>
        </w:rPr>
        <w:t>ICG-PULSION must NOT</w:t>
      </w:r>
      <w:r>
        <w:rPr>
          <w:rFonts w:ascii="Calibri" w:eastAsia="Times New Roman" w:hAnsi="Calibri" w:cs="Times New Roman"/>
          <w:lang w:val="en-NZ"/>
        </w:rPr>
        <w:t xml:space="preserve"> </w:t>
      </w:r>
      <w:r w:rsidRPr="0078403A">
        <w:rPr>
          <w:rFonts w:ascii="Calibri" w:eastAsia="Times New Roman" w:hAnsi="Calibri" w:cs="Times New Roman"/>
          <w:lang w:val="en-NZ"/>
        </w:rPr>
        <w:t xml:space="preserve">be diluted with solutions containing salts (saline, Ringer's solution </w:t>
      </w:r>
      <w:proofErr w:type="spellStart"/>
      <w:r w:rsidRPr="0078403A">
        <w:rPr>
          <w:rFonts w:ascii="Calibri" w:eastAsia="Times New Roman" w:hAnsi="Calibri" w:cs="Times New Roman"/>
          <w:lang w:val="en-NZ"/>
        </w:rPr>
        <w:t>etc</w:t>
      </w:r>
      <w:proofErr w:type="spellEnd"/>
      <w:r w:rsidRPr="0078403A">
        <w:rPr>
          <w:rFonts w:ascii="Calibri" w:eastAsia="Times New Roman" w:hAnsi="Calibri" w:cs="Times New Roman"/>
          <w:lang w:val="en-NZ"/>
        </w:rPr>
        <w:t>) as this can lead to precipitation of the dye</w:t>
      </w:r>
      <w:r w:rsidR="00702244">
        <w:rPr>
          <w:rFonts w:ascii="Calibri" w:eastAsia="Times New Roman" w:hAnsi="Calibri" w:cs="Times New Roman"/>
          <w:lang w:val="en-NZ"/>
        </w:rPr>
        <w:t>.</w:t>
      </w:r>
      <w:r w:rsidRPr="0078403A">
        <w:rPr>
          <w:rFonts w:ascii="Calibri" w:eastAsia="Times New Roman" w:hAnsi="Calibri" w:cs="Times New Roman"/>
          <w:lang w:val="en-NZ"/>
        </w:rPr>
        <w:t xml:space="preserve"> </w:t>
      </w:r>
    </w:p>
    <w:p w14:paraId="4EF8C04F" w14:textId="77777777" w:rsidR="00594D49" w:rsidRDefault="00594D49" w:rsidP="00594D49">
      <w:pPr>
        <w:rPr>
          <w:rFonts w:ascii="Calibri" w:eastAsia="Times New Roman" w:hAnsi="Calibri" w:cs="Times New Roman"/>
          <w:lang w:val="en-NZ"/>
        </w:rPr>
      </w:pPr>
    </w:p>
    <w:p w14:paraId="37F66F7D" w14:textId="77777777" w:rsidR="00594D49" w:rsidRPr="00204836" w:rsidRDefault="00594D49" w:rsidP="00594D49">
      <w:pPr>
        <w:rPr>
          <w:rFonts w:ascii="Calibri" w:eastAsia="Times New Roman" w:hAnsi="Calibri" w:cs="Times New Roman"/>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594D49" w:rsidDel="00F36384" w14:paraId="588500C1" w14:textId="77777777" w:rsidTr="00594D49">
        <w:tc>
          <w:tcPr>
            <w:tcW w:w="8516" w:type="dxa"/>
            <w:shd w:val="clear" w:color="auto" w:fill="C6D9F1" w:themeFill="text2" w:themeFillTint="33"/>
          </w:tcPr>
          <w:p w14:paraId="041FF19F" w14:textId="178EAC0F" w:rsidR="00594D49" w:rsidDel="00F36384" w:rsidRDefault="00594D49" w:rsidP="00594D49">
            <w:pPr>
              <w:pStyle w:val="Heading1"/>
            </w:pPr>
            <w:r>
              <w:lastRenderedPageBreak/>
              <w:br/>
            </w:r>
            <w:bookmarkStart w:id="13" w:name="_Toc321646577"/>
            <w:bookmarkStart w:id="14" w:name="_Toc321646659"/>
            <w:r>
              <w:t>5</w:t>
            </w:r>
            <w:r w:rsidRPr="00D209AF">
              <w:t xml:space="preserve">. </w:t>
            </w:r>
            <w:r>
              <w:t>Preparing the ICG-PULSION solution</w:t>
            </w:r>
            <w:bookmarkEnd w:id="13"/>
            <w:bookmarkEnd w:id="14"/>
          </w:p>
        </w:tc>
      </w:tr>
    </w:tbl>
    <w:p w14:paraId="5826C624" w14:textId="787B88A0" w:rsidR="006679B9" w:rsidRDefault="00594D49" w:rsidP="006679B9">
      <w:pPr>
        <w:rPr>
          <w:rFonts w:ascii="Calibri" w:hAnsi="Calibri"/>
        </w:rPr>
      </w:pPr>
      <w:r>
        <w:rPr>
          <w:rFonts w:ascii="Calibri" w:hAnsi="Calibri"/>
          <w:b/>
        </w:rPr>
        <w:br/>
      </w:r>
      <w:r w:rsidR="006679B9">
        <w:rPr>
          <w:rFonts w:ascii="Calibri" w:hAnsi="Calibri"/>
        </w:rPr>
        <w:t xml:space="preserve">ICG-PULSION powder is diluted by the addition of 10 mL sterilized water to a pre-prepared 25 ml injection vial, giving a </w:t>
      </w:r>
      <w:r w:rsidR="0038711F">
        <w:rPr>
          <w:rFonts w:ascii="Calibri" w:hAnsi="Calibri"/>
        </w:rPr>
        <w:t>0.2</w:t>
      </w:r>
      <w:r w:rsidR="006679B9">
        <w:rPr>
          <w:rFonts w:ascii="Calibri" w:hAnsi="Calibri"/>
        </w:rPr>
        <w:t xml:space="preserve">5% solution (2.5 mg/mL). </w:t>
      </w:r>
    </w:p>
    <w:p w14:paraId="628C3DC6" w14:textId="5B994DA1" w:rsidR="006679B9" w:rsidRDefault="006679B9" w:rsidP="006679B9">
      <w:pPr>
        <w:rPr>
          <w:rFonts w:ascii="Calibri" w:hAnsi="Calibri"/>
        </w:rPr>
      </w:pPr>
      <w:r w:rsidRPr="002B2404">
        <w:rPr>
          <w:rFonts w:ascii="Calibri" w:hAnsi="Calibri"/>
        </w:rPr>
        <w:t>Dilu</w:t>
      </w:r>
      <w:r>
        <w:rPr>
          <w:rFonts w:ascii="Calibri" w:hAnsi="Calibri"/>
        </w:rPr>
        <w:t xml:space="preserve">tion: 4 mL of ICG solution in 6 mL of saline (1:2 </w:t>
      </w:r>
      <w:proofErr w:type="gramStart"/>
      <w:r w:rsidRPr="002B2404">
        <w:rPr>
          <w:rFonts w:ascii="Calibri" w:hAnsi="Calibri"/>
        </w:rPr>
        <w:t>dilution</w:t>
      </w:r>
      <w:proofErr w:type="gramEnd"/>
      <w:r>
        <w:rPr>
          <w:rFonts w:ascii="Calibri" w:hAnsi="Calibri"/>
        </w:rPr>
        <w:t>, 1.25 mg/mL)</w:t>
      </w:r>
      <w:r w:rsidRPr="002B2404">
        <w:rPr>
          <w:rFonts w:ascii="Calibri" w:hAnsi="Calibri"/>
        </w:rPr>
        <w:t xml:space="preserve"> </w:t>
      </w:r>
    </w:p>
    <w:p w14:paraId="392AC7F2" w14:textId="00EBEE6A" w:rsidR="006679B9" w:rsidRPr="002B2404" w:rsidRDefault="006679B9" w:rsidP="006679B9">
      <w:pPr>
        <w:rPr>
          <w:rFonts w:ascii="Calibri" w:hAnsi="Calibri"/>
        </w:rPr>
      </w:pPr>
      <w:r>
        <w:rPr>
          <w:rFonts w:ascii="Calibri" w:hAnsi="Calibri"/>
        </w:rPr>
        <w:t>1 mL of above solution in 9 mL of saline (1:25 dilution, 0.1 mg/mL)</w:t>
      </w:r>
    </w:p>
    <w:p w14:paraId="394561C9" w14:textId="45B700BD" w:rsidR="006679B9" w:rsidRPr="002B2404" w:rsidRDefault="006679B9" w:rsidP="006679B9">
      <w:pPr>
        <w:rPr>
          <w:rFonts w:ascii="Calibri" w:hAnsi="Calibri"/>
        </w:rPr>
      </w:pPr>
      <w:r>
        <w:rPr>
          <w:rFonts w:ascii="Calibri" w:hAnsi="Calibri"/>
        </w:rPr>
        <w:t>1 mL of above solution in 9 mL of saline (1:250</w:t>
      </w:r>
      <w:r w:rsidRPr="002B2404">
        <w:rPr>
          <w:rFonts w:ascii="Calibri" w:hAnsi="Calibri"/>
        </w:rPr>
        <w:t xml:space="preserve"> </w:t>
      </w:r>
      <w:proofErr w:type="gramStart"/>
      <w:r w:rsidRPr="002B2404">
        <w:rPr>
          <w:rFonts w:ascii="Calibri" w:hAnsi="Calibri"/>
        </w:rPr>
        <w:t>dilution</w:t>
      </w:r>
      <w:proofErr w:type="gramEnd"/>
      <w:r>
        <w:rPr>
          <w:rFonts w:ascii="Calibri" w:hAnsi="Calibri"/>
        </w:rPr>
        <w:t>, 0.01 mg/mL</w:t>
      </w:r>
      <w:r w:rsidRPr="002B2404">
        <w:rPr>
          <w:rFonts w:ascii="Calibri" w:hAnsi="Calibri"/>
        </w:rPr>
        <w:t>)</w:t>
      </w:r>
      <w:r w:rsidR="00820810">
        <w:rPr>
          <w:rFonts w:ascii="Calibri" w:hAnsi="Calibri"/>
        </w:rPr>
        <w:t>.</w:t>
      </w:r>
    </w:p>
    <w:p w14:paraId="2EAC033C" w14:textId="6232F67B" w:rsidR="009B6B3B" w:rsidRPr="006679B9" w:rsidRDefault="009B6B3B" w:rsidP="009B6B3B">
      <w:pPr>
        <w:rPr>
          <w:rFonts w:ascii="Calibri" w:hAnsi="Calibri"/>
          <w:b/>
        </w:rPr>
      </w:pPr>
    </w:p>
    <w:p w14:paraId="15CE3A25" w14:textId="0FAB1131" w:rsidR="009947A9" w:rsidRPr="001F7B23" w:rsidRDefault="00594D49" w:rsidP="00594D49">
      <w:pPr>
        <w:rPr>
          <w:rFonts w:ascii="Calibri" w:hAnsi="Calibri"/>
        </w:rPr>
      </w:pPr>
      <w:r>
        <w:rPr>
          <w:rFonts w:ascii="Calibri" w:hAnsi="Calibri"/>
          <w:b/>
        </w:rPr>
        <w:br/>
      </w:r>
    </w:p>
    <w:tbl>
      <w:tblPr>
        <w:tblStyle w:val="TableGrid"/>
        <w:tblW w:w="0" w:type="auto"/>
        <w:tblLook w:val="04A0" w:firstRow="1" w:lastRow="0" w:firstColumn="1" w:lastColumn="0" w:noHBand="0" w:noVBand="1"/>
      </w:tblPr>
      <w:tblGrid>
        <w:gridCol w:w="8516"/>
      </w:tblGrid>
      <w:tr w:rsidR="009A58AE" w14:paraId="56856E64" w14:textId="77777777" w:rsidTr="009A58AE">
        <w:tc>
          <w:tcPr>
            <w:tcW w:w="8516" w:type="dxa"/>
            <w:tcBorders>
              <w:top w:val="nil"/>
              <w:left w:val="nil"/>
              <w:bottom w:val="nil"/>
              <w:right w:val="nil"/>
            </w:tcBorders>
            <w:shd w:val="clear" w:color="auto" w:fill="C6D9F1" w:themeFill="text2" w:themeFillTint="33"/>
          </w:tcPr>
          <w:p w14:paraId="6C1D1457" w14:textId="77777777" w:rsidR="009A58AE" w:rsidRPr="009A58AE" w:rsidRDefault="009A58AE" w:rsidP="009A58AE">
            <w:pPr>
              <w:rPr>
                <w:rFonts w:ascii="Calibri" w:hAnsi="Calibri"/>
                <w:b/>
              </w:rPr>
            </w:pPr>
          </w:p>
          <w:p w14:paraId="0B8DB5D5" w14:textId="65DEDEB1" w:rsidR="009A58AE" w:rsidRDefault="00594D49" w:rsidP="00742CA8">
            <w:pPr>
              <w:pStyle w:val="Heading1"/>
            </w:pPr>
            <w:bookmarkStart w:id="15" w:name="_Toc321148780"/>
            <w:bookmarkStart w:id="16" w:name="_Toc321646578"/>
            <w:bookmarkStart w:id="17" w:name="_Toc321646660"/>
            <w:r>
              <w:t>6</w:t>
            </w:r>
            <w:r w:rsidR="009A58AE" w:rsidRPr="001F7B23">
              <w:t xml:space="preserve">. </w:t>
            </w:r>
            <w:r w:rsidR="009A58AE">
              <w:t>Trial Design</w:t>
            </w:r>
            <w:bookmarkEnd w:id="15"/>
            <w:bookmarkEnd w:id="16"/>
            <w:bookmarkEnd w:id="17"/>
          </w:p>
        </w:tc>
      </w:tr>
    </w:tbl>
    <w:p w14:paraId="33989BC4" w14:textId="77777777" w:rsidR="009A58AE" w:rsidRPr="00204836" w:rsidRDefault="009A58AE" w:rsidP="00204836"/>
    <w:p w14:paraId="53C560BC" w14:textId="754D8A9E" w:rsidR="009A58AE" w:rsidRPr="001C2E4D" w:rsidRDefault="00594D49" w:rsidP="00204836">
      <w:r>
        <w:rPr>
          <w:rStyle w:val="Heading2Char"/>
          <w:rFonts w:eastAsiaTheme="minorEastAsia"/>
        </w:rPr>
        <w:t>6</w:t>
      </w:r>
      <w:r w:rsidR="001C2E4D" w:rsidRPr="00204836">
        <w:rPr>
          <w:rStyle w:val="Heading2Char"/>
          <w:rFonts w:eastAsiaTheme="minorEastAsia"/>
        </w:rPr>
        <w:t>.1. Trial Participants</w:t>
      </w:r>
      <w:r w:rsidR="001C2E4D">
        <w:br/>
      </w:r>
      <w:r w:rsidR="003547EA" w:rsidRPr="003547EA">
        <w:rPr>
          <w:rFonts w:asciiTheme="majorHAnsi" w:hAnsiTheme="majorHAnsi" w:cstheme="majorHAnsi"/>
        </w:rPr>
        <w:t>Study participants will be chosen from patients at the Dunedin Hospital that are referred for an amputated lower limb.</w:t>
      </w:r>
      <w:r w:rsidR="000D5495">
        <w:br/>
      </w:r>
      <w:r w:rsidR="000D5495">
        <w:br/>
      </w:r>
      <w:r w:rsidR="001C2E4D">
        <w:br/>
      </w:r>
      <w:r>
        <w:rPr>
          <w:rStyle w:val="Heading2Char"/>
          <w:rFonts w:eastAsiaTheme="minorEastAsia"/>
        </w:rPr>
        <w:t>6</w:t>
      </w:r>
      <w:r w:rsidR="001C2E4D" w:rsidRPr="00204836">
        <w:rPr>
          <w:rStyle w:val="Heading2Char"/>
          <w:rFonts w:eastAsiaTheme="minorEastAsia"/>
        </w:rPr>
        <w:t>.2 Methodology</w:t>
      </w:r>
      <w:r w:rsidR="001C2E4D" w:rsidRPr="000D5495">
        <w:rPr>
          <w:sz w:val="26"/>
          <w:szCs w:val="26"/>
        </w:rPr>
        <w:br/>
      </w:r>
      <w:r w:rsidR="001C2E4D" w:rsidRPr="00594D49">
        <w:rPr>
          <w:rFonts w:ascii="Calibri" w:hAnsi="Calibri"/>
        </w:rPr>
        <w:t xml:space="preserve">The study will involve two sessions; initially a session in which patient will be allowed to discuss the project, be familiarized with the protocol, read the information sheet, sign the consent form, and perform </w:t>
      </w:r>
      <w:r w:rsidR="00297C9D" w:rsidRPr="00594D49">
        <w:rPr>
          <w:rFonts w:ascii="Calibri" w:hAnsi="Calibri"/>
        </w:rPr>
        <w:t xml:space="preserve">the </w:t>
      </w:r>
      <w:r w:rsidR="0003089B">
        <w:rPr>
          <w:rFonts w:ascii="Calibri" w:hAnsi="Calibri"/>
        </w:rPr>
        <w:t>NIR imaging</w:t>
      </w:r>
      <w:r w:rsidR="00325113" w:rsidRPr="00594D49">
        <w:rPr>
          <w:rFonts w:ascii="Calibri" w:hAnsi="Calibri"/>
        </w:rPr>
        <w:t>. This session</w:t>
      </w:r>
      <w:r w:rsidR="001C2E4D" w:rsidRPr="00594D49">
        <w:rPr>
          <w:rFonts w:ascii="Calibri" w:hAnsi="Calibri"/>
        </w:rPr>
        <w:t xml:space="preserve"> is expected to take </w:t>
      </w:r>
      <w:r w:rsidR="00702244">
        <w:rPr>
          <w:rFonts w:ascii="Calibri" w:hAnsi="Calibri"/>
        </w:rPr>
        <w:t>60 minutes</w:t>
      </w:r>
      <w:r w:rsidR="001C2E4D" w:rsidRPr="00594D49">
        <w:rPr>
          <w:rFonts w:ascii="Calibri" w:hAnsi="Calibri"/>
        </w:rPr>
        <w:t xml:space="preserve">. </w:t>
      </w:r>
      <w:r w:rsidR="000D5495">
        <w:br/>
      </w:r>
      <w:r w:rsidR="001C2E4D">
        <w:br/>
      </w:r>
      <w:r w:rsidR="001C2E4D">
        <w:br/>
      </w:r>
      <w:r>
        <w:rPr>
          <w:rStyle w:val="Heading2Char"/>
          <w:rFonts w:eastAsiaTheme="minorEastAsia"/>
        </w:rPr>
        <w:t>6</w:t>
      </w:r>
      <w:r w:rsidR="001C2E4D" w:rsidRPr="00204836">
        <w:rPr>
          <w:rStyle w:val="Heading2Char"/>
          <w:rFonts w:eastAsiaTheme="minorEastAsia"/>
        </w:rPr>
        <w:t xml:space="preserve">.3 Inclusion / Exclusion Criteria </w:t>
      </w:r>
    </w:p>
    <w:p w14:paraId="19DDFD86" w14:textId="20B3539C" w:rsidR="00C414DA" w:rsidRDefault="00297C9D" w:rsidP="00A34E06">
      <w:pPr>
        <w:rPr>
          <w:rFonts w:ascii="Calibri" w:hAnsi="Calibri"/>
        </w:rPr>
      </w:pPr>
      <w:r>
        <w:rPr>
          <w:rFonts w:ascii="Calibri" w:hAnsi="Calibri"/>
        </w:rPr>
        <w:t xml:space="preserve">Inclusion criteria: </w:t>
      </w:r>
      <w:r>
        <w:rPr>
          <w:rFonts w:ascii="Calibri" w:hAnsi="Calibri"/>
        </w:rPr>
        <w:br/>
        <w:t xml:space="preserve">- </w:t>
      </w:r>
      <w:r w:rsidR="00A34E06">
        <w:rPr>
          <w:rFonts w:ascii="Calibri" w:hAnsi="Calibri"/>
        </w:rPr>
        <w:t xml:space="preserve">Being referred for non-acute amputation of a </w:t>
      </w:r>
      <w:r w:rsidR="009B6B3B">
        <w:rPr>
          <w:rFonts w:ascii="Calibri" w:hAnsi="Calibri"/>
        </w:rPr>
        <w:t>lower limb</w:t>
      </w:r>
      <w:r w:rsidR="00A34E06">
        <w:rPr>
          <w:rFonts w:ascii="Calibri" w:hAnsi="Calibri"/>
        </w:rPr>
        <w:t>.</w:t>
      </w:r>
      <w:r w:rsidR="00A34E06">
        <w:rPr>
          <w:rFonts w:ascii="Calibri" w:hAnsi="Calibri"/>
        </w:rPr>
        <w:br/>
      </w:r>
      <w:r w:rsidR="00A34E06">
        <w:rPr>
          <w:rFonts w:ascii="Calibri" w:hAnsi="Calibri"/>
        </w:rPr>
        <w:br/>
        <w:t xml:space="preserve">Exclusion criteria: </w:t>
      </w:r>
      <w:r w:rsidR="00A34E06">
        <w:rPr>
          <w:rFonts w:ascii="Calibri" w:hAnsi="Calibri"/>
        </w:rPr>
        <w:br/>
      </w:r>
      <w:r>
        <w:rPr>
          <w:rFonts w:ascii="Calibri" w:hAnsi="Calibri"/>
        </w:rPr>
        <w:t>- Patient has known hypersensitivi</w:t>
      </w:r>
      <w:r w:rsidR="00A34E06">
        <w:rPr>
          <w:rFonts w:ascii="Calibri" w:hAnsi="Calibri"/>
        </w:rPr>
        <w:t xml:space="preserve">ty to </w:t>
      </w:r>
      <w:proofErr w:type="spellStart"/>
      <w:r w:rsidR="00A34E06">
        <w:rPr>
          <w:rFonts w:ascii="Calibri" w:hAnsi="Calibri"/>
        </w:rPr>
        <w:t>indocyanine</w:t>
      </w:r>
      <w:proofErr w:type="spellEnd"/>
      <w:r w:rsidR="00A34E06">
        <w:rPr>
          <w:rFonts w:ascii="Calibri" w:hAnsi="Calibri"/>
        </w:rPr>
        <w:t xml:space="preserve"> green (ICG)</w:t>
      </w:r>
      <w:r w:rsidR="00A34E06">
        <w:rPr>
          <w:rFonts w:ascii="Calibri" w:hAnsi="Calibri"/>
        </w:rPr>
        <w:br/>
      </w:r>
      <w:r>
        <w:rPr>
          <w:rFonts w:ascii="Calibri" w:hAnsi="Calibri"/>
        </w:rPr>
        <w:br/>
      </w:r>
    </w:p>
    <w:p w14:paraId="680258AB" w14:textId="7453BB91" w:rsidR="0003089B" w:rsidRDefault="00594D49" w:rsidP="00A34E06">
      <w:pPr>
        <w:rPr>
          <w:rFonts w:ascii="Calibri" w:hAnsi="Calibri"/>
        </w:rPr>
      </w:pPr>
      <w:r>
        <w:rPr>
          <w:rStyle w:val="Heading2Char"/>
          <w:rFonts w:eastAsiaTheme="minorEastAsia"/>
        </w:rPr>
        <w:t>6</w:t>
      </w:r>
      <w:r w:rsidR="00297C9D" w:rsidRPr="00204836">
        <w:rPr>
          <w:rStyle w:val="Heading2Char"/>
          <w:rFonts w:eastAsiaTheme="minorEastAsia"/>
        </w:rPr>
        <w:t>.4 Experimental Protocol</w:t>
      </w:r>
      <w:r w:rsidR="00297C9D">
        <w:rPr>
          <w:rFonts w:ascii="Calibri" w:hAnsi="Calibri"/>
          <w:b/>
        </w:rPr>
        <w:br/>
      </w:r>
      <w:r w:rsidR="00297C9D">
        <w:rPr>
          <w:rFonts w:ascii="Calibri" w:hAnsi="Calibri"/>
        </w:rPr>
        <w:t>Each experimental session will take place in the Otago Vascular Diagnostics Laboratory on the 4</w:t>
      </w:r>
      <w:r w:rsidR="00297C9D" w:rsidRPr="00297C9D">
        <w:rPr>
          <w:rFonts w:ascii="Calibri" w:hAnsi="Calibri"/>
          <w:vertAlign w:val="superscript"/>
        </w:rPr>
        <w:t>th</w:t>
      </w:r>
      <w:r w:rsidR="00A34E06">
        <w:rPr>
          <w:rFonts w:ascii="Calibri" w:hAnsi="Calibri"/>
        </w:rPr>
        <w:t xml:space="preserve"> floor of Dunedin Hospital. After being referred for amputation of a </w:t>
      </w:r>
      <w:r w:rsidR="003547EA">
        <w:rPr>
          <w:rFonts w:ascii="Calibri" w:hAnsi="Calibri"/>
        </w:rPr>
        <w:t>lower limb</w:t>
      </w:r>
      <w:r w:rsidR="00A34E06">
        <w:rPr>
          <w:rFonts w:ascii="Calibri" w:hAnsi="Calibri"/>
        </w:rPr>
        <w:t>, prospective subjects will be approached to determine if they are intereste</w:t>
      </w:r>
      <w:r w:rsidR="0003089B">
        <w:rPr>
          <w:rFonts w:ascii="Calibri" w:hAnsi="Calibri"/>
        </w:rPr>
        <w:t>d in taking part in this study, and to make a time for a NIR imaging session prior to their amputation.</w:t>
      </w:r>
    </w:p>
    <w:p w14:paraId="447ABD69" w14:textId="77777777" w:rsidR="0026307E" w:rsidRDefault="0026307E" w:rsidP="00A34E06">
      <w:pPr>
        <w:rPr>
          <w:rFonts w:ascii="Calibri" w:hAnsi="Calibri"/>
        </w:rPr>
      </w:pPr>
    </w:p>
    <w:p w14:paraId="777E96C3" w14:textId="77777777" w:rsidR="003547EA" w:rsidRDefault="003547EA" w:rsidP="00A34E06">
      <w:pPr>
        <w:rPr>
          <w:rFonts w:ascii="Calibri" w:hAnsi="Calibri"/>
        </w:rPr>
      </w:pPr>
    </w:p>
    <w:p w14:paraId="174C7EB7" w14:textId="77777777" w:rsidR="0026307E" w:rsidRPr="0026307E" w:rsidRDefault="0026307E" w:rsidP="00A34E06">
      <w:pPr>
        <w:rPr>
          <w:rFonts w:ascii="Calibri" w:hAnsi="Calibri"/>
          <w:b/>
          <w:i/>
        </w:rPr>
      </w:pPr>
      <w:r w:rsidRPr="0026307E">
        <w:rPr>
          <w:rFonts w:ascii="Calibri" w:hAnsi="Calibri"/>
          <w:b/>
          <w:i/>
        </w:rPr>
        <w:lastRenderedPageBreak/>
        <w:t>6.4.1 NIR imaging</w:t>
      </w:r>
    </w:p>
    <w:p w14:paraId="32CFE10C" w14:textId="77777777" w:rsidR="0026307E" w:rsidRDefault="0026307E" w:rsidP="00A34E06">
      <w:pPr>
        <w:rPr>
          <w:rFonts w:ascii="Calibri" w:hAnsi="Calibri"/>
        </w:rPr>
      </w:pPr>
    </w:p>
    <w:p w14:paraId="2915D69D" w14:textId="550FDABC" w:rsidR="00A34E06" w:rsidRDefault="0003089B" w:rsidP="00A34E06">
      <w:pPr>
        <w:rPr>
          <w:rFonts w:ascii="Calibri" w:hAnsi="Calibri"/>
          <w:b/>
          <w:i/>
          <w:sz w:val="28"/>
          <w:u w:val="single"/>
        </w:rPr>
      </w:pPr>
      <w:r>
        <w:rPr>
          <w:rFonts w:ascii="Calibri" w:hAnsi="Calibri"/>
        </w:rPr>
        <w:t xml:space="preserve">During this session, a research assistant will discuss the consent from and protocol, and if participants are willing, will gain written consent. </w:t>
      </w:r>
      <w:r w:rsidR="00A34E06">
        <w:rPr>
          <w:rFonts w:ascii="Calibri" w:hAnsi="Calibri"/>
        </w:rPr>
        <w:t xml:space="preserve"> </w:t>
      </w:r>
      <w:r>
        <w:rPr>
          <w:rFonts w:ascii="Calibri" w:hAnsi="Calibri"/>
        </w:rPr>
        <w:t>S</w:t>
      </w:r>
      <w:r w:rsidR="00297C9D">
        <w:rPr>
          <w:rFonts w:ascii="Calibri" w:hAnsi="Calibri"/>
        </w:rPr>
        <w:t xml:space="preserve">ubjects </w:t>
      </w:r>
      <w:r w:rsidR="00A34E06">
        <w:rPr>
          <w:rFonts w:ascii="Calibri" w:hAnsi="Calibri"/>
        </w:rPr>
        <w:t>will be</w:t>
      </w:r>
      <w:r>
        <w:rPr>
          <w:rFonts w:ascii="Calibri" w:hAnsi="Calibri"/>
        </w:rPr>
        <w:t xml:space="preserve"> then be</w:t>
      </w:r>
      <w:r w:rsidR="00A34E06">
        <w:rPr>
          <w:rFonts w:ascii="Calibri" w:hAnsi="Calibri"/>
        </w:rPr>
        <w:t xml:space="preserve"> instructed to lie supine</w:t>
      </w:r>
      <w:r w:rsidR="009B6B3B">
        <w:rPr>
          <w:rFonts w:ascii="Calibri" w:hAnsi="Calibri"/>
        </w:rPr>
        <w:t xml:space="preserve"> and</w:t>
      </w:r>
      <w:r w:rsidR="002C33EC">
        <w:rPr>
          <w:rFonts w:ascii="Calibri" w:hAnsi="Calibri"/>
        </w:rPr>
        <w:t xml:space="preserve"> </w:t>
      </w:r>
      <w:r w:rsidR="00A34E06">
        <w:rPr>
          <w:rFonts w:ascii="Calibri" w:hAnsi="Calibri"/>
        </w:rPr>
        <w:t>bear weight</w:t>
      </w:r>
      <w:r w:rsidR="002C33EC">
        <w:rPr>
          <w:rFonts w:ascii="Calibri" w:hAnsi="Calibri"/>
        </w:rPr>
        <w:t xml:space="preserve"> on the contralateral limb with their foot placed firmly on </w:t>
      </w:r>
      <w:r w:rsidR="00A34E06">
        <w:rPr>
          <w:rFonts w:ascii="Calibri" w:hAnsi="Calibri"/>
        </w:rPr>
        <w:t>a</w:t>
      </w:r>
      <w:r w:rsidR="002C33EC">
        <w:rPr>
          <w:rFonts w:ascii="Calibri" w:hAnsi="Calibri"/>
        </w:rPr>
        <w:t xml:space="preserve"> foot plate. </w:t>
      </w:r>
      <w:r w:rsidR="003028FF">
        <w:rPr>
          <w:rFonts w:ascii="Calibri" w:hAnsi="Calibri"/>
        </w:rPr>
        <w:t>A photograph of the patient</w:t>
      </w:r>
      <w:r w:rsidR="007E7726">
        <w:rPr>
          <w:rFonts w:ascii="Calibri" w:hAnsi="Calibri"/>
        </w:rPr>
        <w:t>’</w:t>
      </w:r>
      <w:r w:rsidR="003028FF">
        <w:rPr>
          <w:rFonts w:ascii="Calibri" w:hAnsi="Calibri"/>
        </w:rPr>
        <w:t xml:space="preserve">s gaiter region will be taken. </w:t>
      </w:r>
    </w:p>
    <w:p w14:paraId="2B8578B5" w14:textId="77777777" w:rsidR="00BA52B7" w:rsidRDefault="00BA52B7" w:rsidP="00702244">
      <w:pPr>
        <w:rPr>
          <w:rFonts w:ascii="Calibri" w:hAnsi="Calibri"/>
          <w:b/>
          <w:i/>
        </w:rPr>
      </w:pPr>
    </w:p>
    <w:p w14:paraId="1F1EE555" w14:textId="68B32691" w:rsidR="00702244" w:rsidRDefault="004912DB" w:rsidP="00702244">
      <w:pPr>
        <w:rPr>
          <w:rFonts w:ascii="Calibri" w:hAnsi="Calibri"/>
        </w:rPr>
      </w:pPr>
      <w:r>
        <w:rPr>
          <w:rFonts w:ascii="Calibri" w:hAnsi="Calibri"/>
          <w:b/>
          <w:i/>
        </w:rPr>
        <w:t>Placement of venous cannula:</w:t>
      </w:r>
      <w:r>
        <w:rPr>
          <w:rFonts w:ascii="Calibri" w:hAnsi="Calibri"/>
        </w:rPr>
        <w:t xml:space="preserve"> A trained, certified and experienced </w:t>
      </w:r>
      <w:r w:rsidR="003547EA">
        <w:rPr>
          <w:rFonts w:ascii="Calibri" w:hAnsi="Calibri"/>
        </w:rPr>
        <w:t xml:space="preserve">Dunedin Hospital </w:t>
      </w:r>
      <w:r>
        <w:rPr>
          <w:rFonts w:ascii="Calibri" w:hAnsi="Calibri"/>
        </w:rPr>
        <w:t xml:space="preserve">staff member will place a standard venous catheter in a suitable foot vein; risk and discomfort for the subject will be minimized as much as possible. </w:t>
      </w:r>
      <w:r w:rsidR="002A1831">
        <w:rPr>
          <w:rFonts w:ascii="Calibri" w:hAnsi="Calibri"/>
        </w:rPr>
        <w:br/>
      </w:r>
      <w:r w:rsidR="002A1831">
        <w:rPr>
          <w:rFonts w:ascii="Calibri" w:hAnsi="Calibri"/>
        </w:rPr>
        <w:br/>
      </w:r>
      <w:r w:rsidR="00702244">
        <w:rPr>
          <w:rFonts w:ascii="Calibri" w:hAnsi="Calibri"/>
        </w:rPr>
        <w:t>B</w:t>
      </w:r>
      <w:r w:rsidR="00706DF9">
        <w:rPr>
          <w:rFonts w:ascii="Calibri" w:hAnsi="Calibri"/>
        </w:rPr>
        <w:t>lood pressure cuff</w:t>
      </w:r>
      <w:r w:rsidR="00A34E06">
        <w:rPr>
          <w:rFonts w:ascii="Calibri" w:hAnsi="Calibri"/>
        </w:rPr>
        <w:t>s will be placed on the limb, and t</w:t>
      </w:r>
      <w:r w:rsidR="00702244">
        <w:rPr>
          <w:rFonts w:ascii="Calibri" w:hAnsi="Calibri"/>
        </w:rPr>
        <w:t xml:space="preserve">he proximal calf </w:t>
      </w:r>
      <w:r w:rsidR="00A34E06">
        <w:rPr>
          <w:rFonts w:ascii="Calibri" w:hAnsi="Calibri"/>
        </w:rPr>
        <w:t xml:space="preserve">pressure </w:t>
      </w:r>
      <w:r w:rsidR="00706DF9">
        <w:rPr>
          <w:rFonts w:ascii="Calibri" w:hAnsi="Calibri"/>
        </w:rPr>
        <w:t xml:space="preserve">will be incrementally increased </w:t>
      </w:r>
      <w:r w:rsidR="00702244">
        <w:rPr>
          <w:rFonts w:ascii="Calibri" w:hAnsi="Calibri"/>
        </w:rPr>
        <w:t xml:space="preserve">in </w:t>
      </w:r>
      <w:r w:rsidR="00706DF9">
        <w:rPr>
          <w:rFonts w:ascii="Calibri" w:hAnsi="Calibri"/>
        </w:rPr>
        <w:t xml:space="preserve">10 mmHg </w:t>
      </w:r>
      <w:r w:rsidR="00702244">
        <w:rPr>
          <w:rFonts w:ascii="Calibri" w:hAnsi="Calibri"/>
        </w:rPr>
        <w:t xml:space="preserve">steps </w:t>
      </w:r>
      <w:r w:rsidR="00706DF9">
        <w:rPr>
          <w:rFonts w:ascii="Calibri" w:hAnsi="Calibri"/>
        </w:rPr>
        <w:t>from 0 – 100 mmHg</w:t>
      </w:r>
      <w:r w:rsidR="003547EA">
        <w:rPr>
          <w:rFonts w:ascii="Calibri" w:hAnsi="Calibri"/>
        </w:rPr>
        <w:t>.</w:t>
      </w:r>
    </w:p>
    <w:p w14:paraId="4760189C" w14:textId="77777777" w:rsidR="00702244" w:rsidRDefault="00702244" w:rsidP="00702244">
      <w:pPr>
        <w:rPr>
          <w:rFonts w:ascii="Calibri" w:hAnsi="Calibri"/>
        </w:rPr>
      </w:pPr>
    </w:p>
    <w:p w14:paraId="51E3B225" w14:textId="1D09F176" w:rsidR="00D363A7" w:rsidRDefault="00702244" w:rsidP="00D363A7">
      <w:proofErr w:type="spellStart"/>
      <w:r>
        <w:rPr>
          <w:rFonts w:ascii="Calibri" w:hAnsi="Calibri"/>
          <w:b/>
          <w:i/>
        </w:rPr>
        <w:t>Indocyanine</w:t>
      </w:r>
      <w:proofErr w:type="spellEnd"/>
      <w:r>
        <w:rPr>
          <w:rFonts w:ascii="Calibri" w:hAnsi="Calibri"/>
          <w:b/>
          <w:i/>
        </w:rPr>
        <w:t>-green (ICG) injection:</w:t>
      </w:r>
      <w:r>
        <w:rPr>
          <w:rFonts w:ascii="Calibri" w:hAnsi="Calibri"/>
        </w:rPr>
        <w:t xml:space="preserve"> Following ICG preparation as described above, </w:t>
      </w:r>
      <w:r w:rsidR="00A34E06">
        <w:rPr>
          <w:rFonts w:ascii="Calibri" w:hAnsi="Calibri"/>
        </w:rPr>
        <w:t xml:space="preserve">2.5 </w:t>
      </w:r>
      <w:r>
        <w:rPr>
          <w:rFonts w:ascii="Calibri" w:hAnsi="Calibri"/>
        </w:rPr>
        <w:t xml:space="preserve">mL of ICG solution </w:t>
      </w:r>
      <w:r w:rsidR="0054046C">
        <w:rPr>
          <w:rFonts w:ascii="Calibri" w:hAnsi="Calibri"/>
        </w:rPr>
        <w:t>(0.01 mg/mL, 0.02</w:t>
      </w:r>
      <w:r w:rsidR="003E113D">
        <w:rPr>
          <w:rFonts w:ascii="Calibri" w:hAnsi="Calibri"/>
        </w:rPr>
        <w:t xml:space="preserve">5 mg total) </w:t>
      </w:r>
      <w:r>
        <w:rPr>
          <w:rFonts w:ascii="Calibri" w:hAnsi="Calibri"/>
        </w:rPr>
        <w:t xml:space="preserve">will be injected into the catheter, with the initial cuff pressure set at </w:t>
      </w:r>
      <w:r w:rsidR="00A34E06">
        <w:rPr>
          <w:rFonts w:ascii="Calibri" w:hAnsi="Calibri"/>
        </w:rPr>
        <w:t>100</w:t>
      </w:r>
      <w:r>
        <w:rPr>
          <w:rFonts w:ascii="Calibri" w:hAnsi="Calibri"/>
        </w:rPr>
        <w:t xml:space="preserve"> mm Hg.</w:t>
      </w:r>
      <w:r w:rsidR="00706DF9">
        <w:rPr>
          <w:rFonts w:ascii="Calibri" w:hAnsi="Calibri"/>
        </w:rPr>
        <w:br/>
      </w:r>
      <w:r w:rsidR="00706DF9">
        <w:rPr>
          <w:rFonts w:ascii="Calibri" w:hAnsi="Calibri"/>
        </w:rPr>
        <w:br/>
      </w:r>
      <w:r w:rsidR="00B12681" w:rsidRPr="00B12681">
        <w:rPr>
          <w:rFonts w:ascii="Calibri" w:hAnsi="Calibri"/>
          <w:b/>
          <w:i/>
        </w:rPr>
        <w:t>Imaging</w:t>
      </w:r>
      <w:r w:rsidR="00B12681">
        <w:rPr>
          <w:rFonts w:ascii="Calibri" w:hAnsi="Calibri"/>
          <w:b/>
          <w:i/>
        </w:rPr>
        <w:t xml:space="preserve">: </w:t>
      </w:r>
      <w:r w:rsidR="00B12681">
        <w:rPr>
          <w:rFonts w:ascii="Calibri" w:hAnsi="Calibri"/>
        </w:rPr>
        <w:t xml:space="preserve">NIR imaging will be undertaken using </w:t>
      </w:r>
      <w:r w:rsidR="00D363A7">
        <w:rPr>
          <w:rFonts w:ascii="Calibri" w:hAnsi="Calibri"/>
        </w:rPr>
        <w:t>the SPY</w:t>
      </w:r>
      <w:r w:rsidR="00D363A7" w:rsidRPr="00D363A7">
        <w:t xml:space="preserve"> </w:t>
      </w:r>
      <w:r w:rsidR="00D363A7">
        <w:t>system (</w:t>
      </w:r>
      <w:r w:rsidR="00D363A7" w:rsidRPr="003547EA">
        <w:rPr>
          <w:rFonts w:asciiTheme="majorHAnsi" w:hAnsiTheme="majorHAnsi" w:cstheme="majorHAnsi"/>
        </w:rPr>
        <w:t xml:space="preserve">SPY </w:t>
      </w:r>
      <w:proofErr w:type="spellStart"/>
      <w:r w:rsidR="00D363A7" w:rsidRPr="003547EA">
        <w:rPr>
          <w:rFonts w:asciiTheme="majorHAnsi" w:hAnsiTheme="majorHAnsi" w:cstheme="majorHAnsi"/>
        </w:rPr>
        <w:t>Novadaq</w:t>
      </w:r>
      <w:proofErr w:type="spellEnd"/>
      <w:r w:rsidR="00D363A7" w:rsidRPr="003547EA">
        <w:rPr>
          <w:rFonts w:asciiTheme="majorHAnsi" w:hAnsiTheme="majorHAnsi" w:cstheme="majorHAnsi"/>
        </w:rPr>
        <w:t xml:space="preserve"> Technologies </w:t>
      </w:r>
      <w:proofErr w:type="spellStart"/>
      <w:r w:rsidR="00D363A7" w:rsidRPr="003547EA">
        <w:rPr>
          <w:rFonts w:asciiTheme="majorHAnsi" w:hAnsiTheme="majorHAnsi" w:cstheme="majorHAnsi"/>
        </w:rPr>
        <w:t>Inc</w:t>
      </w:r>
      <w:proofErr w:type="spellEnd"/>
      <w:r w:rsidR="00D363A7" w:rsidRPr="003547EA">
        <w:rPr>
          <w:rFonts w:asciiTheme="majorHAnsi" w:hAnsiTheme="majorHAnsi" w:cstheme="majorHAnsi"/>
        </w:rPr>
        <w:t xml:space="preserve">, Bonita Springs, </w:t>
      </w:r>
      <w:proofErr w:type="gramStart"/>
      <w:r w:rsidR="00D363A7" w:rsidRPr="003547EA">
        <w:rPr>
          <w:rFonts w:asciiTheme="majorHAnsi" w:hAnsiTheme="majorHAnsi" w:cstheme="majorHAnsi"/>
        </w:rPr>
        <w:t>FL</w:t>
      </w:r>
      <w:proofErr w:type="gramEnd"/>
      <w:r w:rsidR="00D363A7" w:rsidRPr="003547EA">
        <w:rPr>
          <w:rFonts w:asciiTheme="majorHAnsi" w:hAnsiTheme="majorHAnsi" w:cstheme="majorHAnsi"/>
        </w:rPr>
        <w:t xml:space="preserve">). The emitting laser (805 nm) </w:t>
      </w:r>
      <w:r w:rsidR="0026307E" w:rsidRPr="003547EA">
        <w:rPr>
          <w:rFonts w:asciiTheme="majorHAnsi" w:hAnsiTheme="majorHAnsi" w:cstheme="majorHAnsi"/>
        </w:rPr>
        <w:t>will be</w:t>
      </w:r>
      <w:r w:rsidR="00D363A7" w:rsidRPr="003547EA">
        <w:rPr>
          <w:rFonts w:asciiTheme="majorHAnsi" w:hAnsiTheme="majorHAnsi" w:cstheme="majorHAnsi"/>
        </w:rPr>
        <w:t xml:space="preserve"> used to </w:t>
      </w:r>
      <w:proofErr w:type="gramStart"/>
      <w:r w:rsidR="00D363A7" w:rsidRPr="003547EA">
        <w:rPr>
          <w:rFonts w:asciiTheme="majorHAnsi" w:hAnsiTheme="majorHAnsi" w:cstheme="majorHAnsi"/>
        </w:rPr>
        <w:t>fluoresce</w:t>
      </w:r>
      <w:proofErr w:type="gramEnd"/>
      <w:r w:rsidR="00D363A7" w:rsidRPr="003547EA">
        <w:rPr>
          <w:rFonts w:asciiTheme="majorHAnsi" w:hAnsiTheme="majorHAnsi" w:cstheme="majorHAnsi"/>
        </w:rPr>
        <w:t xml:space="preserve"> the ICG contrast, and this will be captured by the NIR camera and recorded</w:t>
      </w:r>
      <w:r w:rsidR="003547EA">
        <w:rPr>
          <w:rFonts w:asciiTheme="majorHAnsi" w:hAnsiTheme="majorHAnsi" w:cstheme="majorHAnsi"/>
        </w:rPr>
        <w:t xml:space="preserve"> and displayed in real time</w:t>
      </w:r>
      <w:r w:rsidR="0026307E" w:rsidRPr="003547EA">
        <w:rPr>
          <w:rFonts w:asciiTheme="majorHAnsi" w:hAnsiTheme="majorHAnsi" w:cstheme="majorHAnsi"/>
        </w:rPr>
        <w:t>.</w:t>
      </w:r>
    </w:p>
    <w:p w14:paraId="22A3EC1C" w14:textId="77777777" w:rsidR="0026307E" w:rsidRDefault="0026307E" w:rsidP="00D363A7"/>
    <w:p w14:paraId="3EFAA62F" w14:textId="6BF9678B" w:rsidR="0026307E" w:rsidRPr="00F0162D" w:rsidRDefault="0026307E" w:rsidP="00D363A7">
      <w:pPr>
        <w:rPr>
          <w:rFonts w:asciiTheme="majorHAnsi" w:hAnsiTheme="majorHAnsi" w:cstheme="majorHAnsi"/>
          <w:b/>
          <w:i/>
        </w:rPr>
      </w:pPr>
      <w:r w:rsidRPr="00F0162D">
        <w:rPr>
          <w:rFonts w:asciiTheme="majorHAnsi" w:hAnsiTheme="majorHAnsi" w:cstheme="majorHAnsi"/>
          <w:b/>
          <w:i/>
        </w:rPr>
        <w:t>6.4.2 Resin Casting</w:t>
      </w:r>
    </w:p>
    <w:p w14:paraId="3B3D5B6D" w14:textId="7D130B9B" w:rsidR="00D363A7" w:rsidRDefault="00D363A7" w:rsidP="00D363A7"/>
    <w:p w14:paraId="38E11493" w14:textId="4FE38A42" w:rsidR="0026307E" w:rsidRDefault="0026307E" w:rsidP="0026307E">
      <w:r>
        <w:t xml:space="preserve">The limb will be surgically removed according to Dunedin Public Hospital protocol. </w:t>
      </w:r>
      <w:r w:rsidR="000524FB">
        <w:t xml:space="preserve">Within 1 hour of amputation, the GSV of each limb will be cannulated with a 20 gauge needle at the level of the medial malleolus and flushed with saline. </w:t>
      </w:r>
      <w:r>
        <w:t xml:space="preserve">Resin </w:t>
      </w:r>
      <w:r w:rsidR="000524FB">
        <w:t xml:space="preserve">(Batson’s #17 </w:t>
      </w:r>
      <w:proofErr w:type="gramStart"/>
      <w:r w:rsidR="000524FB">
        <w:t>resin</w:t>
      </w:r>
      <w:proofErr w:type="gramEnd"/>
      <w:r w:rsidR="000524FB">
        <w:t xml:space="preserve">, </w:t>
      </w:r>
      <w:proofErr w:type="spellStart"/>
      <w:r w:rsidR="000524FB">
        <w:t>Polysciences</w:t>
      </w:r>
      <w:proofErr w:type="spellEnd"/>
      <w:r w:rsidR="000524FB">
        <w:t xml:space="preserve"> Inc. Warrington, Pa) </w:t>
      </w:r>
      <w:r>
        <w:t>will be injected</w:t>
      </w:r>
      <w:r w:rsidR="000524FB">
        <w:t xml:space="preserve"> into the limb</w:t>
      </w:r>
      <w:r>
        <w:t xml:space="preserve">. </w:t>
      </w:r>
      <w:r w:rsidR="000524FB">
        <w:t>As resin begins to flow from vessels at the proximal end of the limb, these vessels will be identified and ligated. Once the outflow vessel</w:t>
      </w:r>
      <w:r w:rsidR="001D783D">
        <w:t>s are</w:t>
      </w:r>
      <w:r w:rsidR="000524FB">
        <w:t xml:space="preserve"> closed, further resin will be injected until significant resistance is met </w:t>
      </w:r>
      <w:r w:rsidR="000524FB" w:rsidRPr="001D783D">
        <w:rPr>
          <w:color w:val="00B0F0"/>
        </w:rPr>
        <w:t xml:space="preserve">(less subjective way of doing this?) </w:t>
      </w:r>
      <w:r w:rsidR="000524FB">
        <w:t>T</w:t>
      </w:r>
      <w:r>
        <w:t xml:space="preserve">he limb will be </w:t>
      </w:r>
      <w:r w:rsidR="000524FB">
        <w:t xml:space="preserve">immersed in saline for 12 hours to allow the resin to harden. Tissue will be removed by maceration in 15% sodium hydroxide </w:t>
      </w:r>
      <w:r w:rsidR="001D783D">
        <w:t xml:space="preserve">(3.75 M) </w:t>
      </w:r>
      <w:r w:rsidR="000524FB">
        <w:t>at 60</w:t>
      </w:r>
      <w:r w:rsidR="000524FB" w:rsidRPr="000524FB">
        <w:rPr>
          <w:vertAlign w:val="superscript"/>
        </w:rPr>
        <w:t>o</w:t>
      </w:r>
      <w:r w:rsidR="000524FB">
        <w:t>C</w:t>
      </w:r>
      <w:r>
        <w:t xml:space="preserve"> and the resulting cast will be </w:t>
      </w:r>
      <w:proofErr w:type="spellStart"/>
      <w:r>
        <w:t>analysed</w:t>
      </w:r>
      <w:proofErr w:type="spellEnd"/>
      <w:r>
        <w:t>.</w:t>
      </w:r>
    </w:p>
    <w:p w14:paraId="5640A530" w14:textId="4D3993CB" w:rsidR="002C33EC" w:rsidRPr="00B12681" w:rsidRDefault="002C33EC" w:rsidP="00702244">
      <w:pPr>
        <w:rPr>
          <w:rFonts w:ascii="Calibri" w:hAnsi="Calibri"/>
        </w:rPr>
      </w:pPr>
    </w:p>
    <w:p w14:paraId="780FC769" w14:textId="77777777" w:rsidR="002C33EC" w:rsidRDefault="002C33EC">
      <w:pPr>
        <w:rPr>
          <w:rFonts w:ascii="Calibri" w:hAnsi="Calibri"/>
        </w:rPr>
      </w:pPr>
    </w:p>
    <w:p w14:paraId="4AA1F8E2" w14:textId="77777777" w:rsidR="0026307E" w:rsidRDefault="0026307E" w:rsidP="0026307E">
      <w:pPr>
        <w:rPr>
          <w:rFonts w:ascii="Calibri" w:hAnsi="Calibri"/>
        </w:rPr>
      </w:pPr>
      <w:r>
        <w:rPr>
          <w:rFonts w:ascii="Calibri" w:hAnsi="Calibri"/>
          <w:b/>
          <w:i/>
        </w:rPr>
        <w:t xml:space="preserve">6.5 </w:t>
      </w:r>
      <w:r w:rsidR="002C33EC">
        <w:rPr>
          <w:rFonts w:ascii="Calibri" w:hAnsi="Calibri"/>
          <w:b/>
          <w:i/>
        </w:rPr>
        <w:t>Analysis:</w:t>
      </w:r>
      <w:r w:rsidR="002C33EC">
        <w:rPr>
          <w:rFonts w:ascii="Calibri" w:hAnsi="Calibri"/>
        </w:rPr>
        <w:t xml:space="preserve"> </w:t>
      </w:r>
    </w:p>
    <w:p w14:paraId="225482AB" w14:textId="77777777" w:rsidR="0026307E" w:rsidRDefault="0026307E" w:rsidP="0026307E">
      <w:pPr>
        <w:rPr>
          <w:rFonts w:ascii="Calibri" w:hAnsi="Calibri"/>
        </w:rPr>
      </w:pPr>
    </w:p>
    <w:p w14:paraId="1F25AB6C" w14:textId="77777777" w:rsidR="0026307E" w:rsidRPr="0026307E" w:rsidRDefault="0026307E" w:rsidP="0026307E">
      <w:pPr>
        <w:rPr>
          <w:rFonts w:ascii="Calibri" w:hAnsi="Calibri"/>
          <w:b/>
          <w:i/>
        </w:rPr>
      </w:pPr>
      <w:r w:rsidRPr="0026307E">
        <w:rPr>
          <w:rFonts w:ascii="Calibri" w:hAnsi="Calibri"/>
          <w:b/>
          <w:i/>
        </w:rPr>
        <w:t>6.5.1 NIR analysis:</w:t>
      </w:r>
    </w:p>
    <w:p w14:paraId="46016974" w14:textId="77777777" w:rsidR="0026307E" w:rsidRDefault="0026307E" w:rsidP="0026307E">
      <w:pPr>
        <w:rPr>
          <w:rFonts w:ascii="Calibri" w:hAnsi="Calibri"/>
        </w:rPr>
      </w:pPr>
    </w:p>
    <w:p w14:paraId="710F3B20" w14:textId="7853C340" w:rsidR="0026307E" w:rsidRPr="003547EA" w:rsidRDefault="002C33EC" w:rsidP="0026307E">
      <w:pPr>
        <w:rPr>
          <w:rFonts w:asciiTheme="majorHAnsi" w:hAnsiTheme="majorHAnsi" w:cstheme="majorHAnsi"/>
        </w:rPr>
      </w:pPr>
      <w:r w:rsidRPr="003547EA">
        <w:rPr>
          <w:rFonts w:asciiTheme="majorHAnsi" w:hAnsiTheme="majorHAnsi" w:cstheme="majorHAnsi"/>
        </w:rPr>
        <w:t xml:space="preserve">At the completion of the </w:t>
      </w:r>
      <w:r w:rsidR="00D363A7" w:rsidRPr="003547EA">
        <w:rPr>
          <w:rFonts w:asciiTheme="majorHAnsi" w:hAnsiTheme="majorHAnsi" w:cstheme="majorHAnsi"/>
        </w:rPr>
        <w:t xml:space="preserve">imaging procedure, captured sequences will be </w:t>
      </w:r>
      <w:proofErr w:type="spellStart"/>
      <w:r w:rsidR="00D363A7" w:rsidRPr="003547EA">
        <w:rPr>
          <w:rFonts w:asciiTheme="majorHAnsi" w:hAnsiTheme="majorHAnsi" w:cstheme="majorHAnsi"/>
        </w:rPr>
        <w:t>analysed</w:t>
      </w:r>
      <w:proofErr w:type="spellEnd"/>
      <w:r w:rsidR="00D363A7" w:rsidRPr="003547EA">
        <w:rPr>
          <w:rFonts w:asciiTheme="majorHAnsi" w:hAnsiTheme="majorHAnsi" w:cstheme="majorHAnsi"/>
        </w:rPr>
        <w:t xml:space="preserve"> using the SPYQ software (SPY </w:t>
      </w:r>
      <w:proofErr w:type="spellStart"/>
      <w:r w:rsidR="00D363A7" w:rsidRPr="003547EA">
        <w:rPr>
          <w:rFonts w:asciiTheme="majorHAnsi" w:hAnsiTheme="majorHAnsi" w:cstheme="majorHAnsi"/>
        </w:rPr>
        <w:t>Novadaq</w:t>
      </w:r>
      <w:proofErr w:type="spellEnd"/>
      <w:r w:rsidR="00D363A7" w:rsidRPr="003547EA">
        <w:rPr>
          <w:rFonts w:asciiTheme="majorHAnsi" w:hAnsiTheme="majorHAnsi" w:cstheme="majorHAnsi"/>
        </w:rPr>
        <w:t xml:space="preserve"> Technologies </w:t>
      </w:r>
      <w:proofErr w:type="spellStart"/>
      <w:r w:rsidR="00D363A7" w:rsidRPr="003547EA">
        <w:rPr>
          <w:rFonts w:asciiTheme="majorHAnsi" w:hAnsiTheme="majorHAnsi" w:cstheme="majorHAnsi"/>
        </w:rPr>
        <w:t>Inc</w:t>
      </w:r>
      <w:proofErr w:type="spellEnd"/>
      <w:r w:rsidR="00D363A7" w:rsidRPr="003547EA">
        <w:rPr>
          <w:rFonts w:asciiTheme="majorHAnsi" w:hAnsiTheme="majorHAnsi" w:cstheme="majorHAnsi"/>
        </w:rPr>
        <w:t xml:space="preserve">, Bonita Springs, </w:t>
      </w:r>
      <w:proofErr w:type="gramStart"/>
      <w:r w:rsidR="00D363A7" w:rsidRPr="003547EA">
        <w:rPr>
          <w:rFonts w:asciiTheme="majorHAnsi" w:hAnsiTheme="majorHAnsi" w:cstheme="majorHAnsi"/>
        </w:rPr>
        <w:t>FL</w:t>
      </w:r>
      <w:proofErr w:type="gramEnd"/>
      <w:r w:rsidR="00D363A7" w:rsidRPr="003547EA">
        <w:rPr>
          <w:rFonts w:asciiTheme="majorHAnsi" w:hAnsiTheme="majorHAnsi" w:cstheme="majorHAnsi"/>
        </w:rPr>
        <w:t xml:space="preserve">). </w:t>
      </w:r>
      <w:r w:rsidR="0003089B" w:rsidRPr="003547EA">
        <w:rPr>
          <w:rFonts w:asciiTheme="majorHAnsi" w:hAnsiTheme="majorHAnsi" w:cstheme="majorHAnsi"/>
        </w:rPr>
        <w:t>Ingress</w:t>
      </w:r>
      <w:r w:rsidR="003547EA">
        <w:rPr>
          <w:rFonts w:asciiTheme="majorHAnsi" w:hAnsiTheme="majorHAnsi" w:cstheme="majorHAnsi"/>
        </w:rPr>
        <w:t>: the difference in intensity from start to maximum</w:t>
      </w:r>
      <w:r w:rsidR="009B6B3B">
        <w:rPr>
          <w:rFonts w:asciiTheme="majorHAnsi" w:hAnsiTheme="majorHAnsi" w:cstheme="majorHAnsi"/>
        </w:rPr>
        <w:t>, e</w:t>
      </w:r>
      <w:r w:rsidR="0003089B" w:rsidRPr="003547EA">
        <w:rPr>
          <w:rFonts w:asciiTheme="majorHAnsi" w:hAnsiTheme="majorHAnsi" w:cstheme="majorHAnsi"/>
        </w:rPr>
        <w:t>gress</w:t>
      </w:r>
      <w:r w:rsidR="003547EA">
        <w:rPr>
          <w:rFonts w:asciiTheme="majorHAnsi" w:hAnsiTheme="majorHAnsi" w:cstheme="majorHAnsi"/>
        </w:rPr>
        <w:t>: the difference in intensity from maximum to final, i</w:t>
      </w:r>
      <w:r w:rsidR="0003089B" w:rsidRPr="003547EA">
        <w:rPr>
          <w:rFonts w:asciiTheme="majorHAnsi" w:hAnsiTheme="majorHAnsi" w:cstheme="majorHAnsi"/>
        </w:rPr>
        <w:t>ngress rate</w:t>
      </w:r>
      <w:r w:rsidR="003547EA">
        <w:rPr>
          <w:rFonts w:asciiTheme="majorHAnsi" w:hAnsiTheme="majorHAnsi" w:cstheme="majorHAnsi"/>
        </w:rPr>
        <w:t>: ingress/second, e</w:t>
      </w:r>
      <w:r w:rsidR="0003089B" w:rsidRPr="003547EA">
        <w:rPr>
          <w:rFonts w:asciiTheme="majorHAnsi" w:hAnsiTheme="majorHAnsi" w:cstheme="majorHAnsi"/>
        </w:rPr>
        <w:t>gress rate</w:t>
      </w:r>
      <w:r w:rsidR="003547EA">
        <w:rPr>
          <w:rFonts w:asciiTheme="majorHAnsi" w:hAnsiTheme="majorHAnsi" w:cstheme="majorHAnsi"/>
        </w:rPr>
        <w:t>: egress/second</w:t>
      </w:r>
      <w:r w:rsidR="0003089B" w:rsidRPr="003547EA">
        <w:rPr>
          <w:rFonts w:asciiTheme="majorHAnsi" w:hAnsiTheme="majorHAnsi" w:cstheme="majorHAnsi"/>
        </w:rPr>
        <w:t xml:space="preserve">, time to peak </w:t>
      </w:r>
      <w:proofErr w:type="gramStart"/>
      <w:r w:rsidR="0003089B" w:rsidRPr="003547EA">
        <w:rPr>
          <w:rFonts w:asciiTheme="majorHAnsi" w:hAnsiTheme="majorHAnsi" w:cstheme="majorHAnsi"/>
        </w:rPr>
        <w:t>intensity,</w:t>
      </w:r>
      <w:proofErr w:type="gramEnd"/>
      <w:r w:rsidR="0003089B" w:rsidRPr="003547EA">
        <w:rPr>
          <w:rFonts w:asciiTheme="majorHAnsi" w:hAnsiTheme="majorHAnsi" w:cstheme="majorHAnsi"/>
        </w:rPr>
        <w:t xml:space="preserve"> and peak intensity will be recorded</w:t>
      </w:r>
      <w:r w:rsidR="0026307E" w:rsidRPr="003547EA">
        <w:rPr>
          <w:rFonts w:asciiTheme="majorHAnsi" w:hAnsiTheme="majorHAnsi" w:cstheme="majorHAnsi"/>
        </w:rPr>
        <w:t xml:space="preserve">. </w:t>
      </w:r>
    </w:p>
    <w:p w14:paraId="1E07603B" w14:textId="77777777" w:rsidR="0026307E" w:rsidRPr="003547EA" w:rsidRDefault="0026307E" w:rsidP="0026307E">
      <w:pPr>
        <w:rPr>
          <w:rFonts w:asciiTheme="majorHAnsi" w:hAnsiTheme="majorHAnsi" w:cstheme="majorHAnsi"/>
        </w:rPr>
      </w:pPr>
    </w:p>
    <w:p w14:paraId="48A27377" w14:textId="77777777" w:rsidR="0026307E" w:rsidRPr="00F0162D" w:rsidRDefault="0026307E" w:rsidP="0026307E">
      <w:pPr>
        <w:rPr>
          <w:rFonts w:asciiTheme="majorHAnsi" w:hAnsiTheme="majorHAnsi" w:cstheme="majorHAnsi"/>
          <w:b/>
          <w:i/>
        </w:rPr>
      </w:pPr>
      <w:r w:rsidRPr="00F0162D">
        <w:rPr>
          <w:rFonts w:asciiTheme="majorHAnsi" w:hAnsiTheme="majorHAnsi" w:cstheme="majorHAnsi"/>
          <w:b/>
          <w:i/>
        </w:rPr>
        <w:lastRenderedPageBreak/>
        <w:t>6.5.2 Resin Casting analysis:</w:t>
      </w:r>
      <w:r w:rsidRPr="00F0162D">
        <w:rPr>
          <w:rFonts w:asciiTheme="majorHAnsi" w:hAnsiTheme="majorHAnsi" w:cstheme="majorHAnsi"/>
          <w:b/>
          <w:i/>
        </w:rPr>
        <w:br/>
      </w:r>
    </w:p>
    <w:p w14:paraId="3EEB67CB" w14:textId="1B3471E0" w:rsidR="0026307E" w:rsidRPr="003547EA" w:rsidRDefault="0026307E" w:rsidP="0026307E">
      <w:pPr>
        <w:rPr>
          <w:rFonts w:asciiTheme="majorHAnsi" w:hAnsiTheme="majorHAnsi" w:cstheme="majorHAnsi"/>
        </w:rPr>
      </w:pPr>
      <w:r w:rsidRPr="003547EA">
        <w:rPr>
          <w:rFonts w:asciiTheme="majorHAnsi" w:hAnsiTheme="majorHAnsi" w:cstheme="majorHAnsi"/>
        </w:rPr>
        <w:t xml:space="preserve">As described in Vincent 2011, venous incompetency will be </w:t>
      </w:r>
      <w:proofErr w:type="spellStart"/>
      <w:r w:rsidRPr="003547EA">
        <w:rPr>
          <w:rFonts w:asciiTheme="majorHAnsi" w:hAnsiTheme="majorHAnsi" w:cstheme="majorHAnsi"/>
        </w:rPr>
        <w:t>categorised</w:t>
      </w:r>
      <w:proofErr w:type="spellEnd"/>
      <w:r w:rsidRPr="003547EA">
        <w:rPr>
          <w:rFonts w:asciiTheme="majorHAnsi" w:hAnsiTheme="majorHAnsi" w:cstheme="majorHAnsi"/>
        </w:rPr>
        <w:t xml:space="preserve"> according to how many generations of valves are incompetent. The resin can pass freely into a tributary if the valves in that tributary are incompetent, so with no incompetence, only the GSV is mapped in the resin cast. The GSV and its tributaries are generation 0 (no venous insufficiency). Valves in subsequent tributaries will be assigned a consecutively numbered generation, up to generation 4. It was shown in Vincent 2011 that once the resin passed generations 3-4, the interconnected nature of the </w:t>
      </w:r>
      <w:proofErr w:type="spellStart"/>
      <w:r w:rsidRPr="003547EA">
        <w:rPr>
          <w:rFonts w:asciiTheme="majorHAnsi" w:hAnsiTheme="majorHAnsi" w:cstheme="majorHAnsi"/>
        </w:rPr>
        <w:t>microvessels</w:t>
      </w:r>
      <w:proofErr w:type="spellEnd"/>
      <w:r w:rsidRPr="003547EA">
        <w:rPr>
          <w:rFonts w:asciiTheme="majorHAnsi" w:hAnsiTheme="majorHAnsi" w:cstheme="majorHAnsi"/>
        </w:rPr>
        <w:t xml:space="preserve"> allowed the resin to pass into the small vessel network, regardless of where the insufficient valves were located.</w:t>
      </w:r>
    </w:p>
    <w:p w14:paraId="1321AE0C" w14:textId="77777777" w:rsidR="000D6A1A" w:rsidRPr="003547EA" w:rsidRDefault="000D6A1A" w:rsidP="0026307E">
      <w:pPr>
        <w:rPr>
          <w:rFonts w:asciiTheme="majorHAnsi" w:hAnsiTheme="majorHAnsi" w:cstheme="majorHAnsi"/>
        </w:rPr>
      </w:pPr>
    </w:p>
    <w:p w14:paraId="05F676C1" w14:textId="77777777" w:rsidR="000D6A1A" w:rsidRPr="003547EA" w:rsidRDefault="000D6A1A" w:rsidP="0003089B">
      <w:pPr>
        <w:rPr>
          <w:rFonts w:asciiTheme="majorHAnsi" w:hAnsiTheme="majorHAnsi" w:cstheme="majorHAnsi"/>
        </w:rPr>
      </w:pPr>
      <w:r w:rsidRPr="003547EA">
        <w:rPr>
          <w:rFonts w:asciiTheme="majorHAnsi" w:hAnsiTheme="majorHAnsi" w:cstheme="majorHAnsi"/>
          <w:b/>
          <w:i/>
        </w:rPr>
        <w:t>6.5.3 Statistical Analysis</w:t>
      </w:r>
      <w:r w:rsidR="0003089B" w:rsidRPr="003547EA">
        <w:rPr>
          <w:rFonts w:asciiTheme="majorHAnsi" w:hAnsiTheme="majorHAnsi" w:cstheme="majorHAnsi"/>
        </w:rPr>
        <w:t xml:space="preserve"> </w:t>
      </w:r>
    </w:p>
    <w:p w14:paraId="2D995E98" w14:textId="77777777" w:rsidR="000D6A1A" w:rsidRPr="003547EA" w:rsidRDefault="000D6A1A" w:rsidP="0003089B">
      <w:pPr>
        <w:rPr>
          <w:rFonts w:asciiTheme="majorHAnsi" w:hAnsiTheme="majorHAnsi" w:cstheme="majorHAnsi"/>
        </w:rPr>
      </w:pPr>
    </w:p>
    <w:p w14:paraId="38820D04" w14:textId="6B7DB5F3" w:rsidR="0003089B" w:rsidRPr="003547EA" w:rsidRDefault="000D6A1A" w:rsidP="0003089B">
      <w:pPr>
        <w:rPr>
          <w:rFonts w:asciiTheme="majorHAnsi" w:hAnsiTheme="majorHAnsi" w:cstheme="majorHAnsi"/>
        </w:rPr>
      </w:pPr>
      <w:r w:rsidRPr="003547EA">
        <w:rPr>
          <w:rFonts w:asciiTheme="majorHAnsi" w:hAnsiTheme="majorHAnsi" w:cstheme="majorHAnsi"/>
        </w:rPr>
        <w:t>Data from the SPYQ software (</w:t>
      </w:r>
      <w:r w:rsidR="003547EA">
        <w:rPr>
          <w:rFonts w:asciiTheme="majorHAnsi" w:hAnsiTheme="majorHAnsi" w:cstheme="majorHAnsi"/>
        </w:rPr>
        <w:t>ingress, egress, ingress rate, e</w:t>
      </w:r>
      <w:r w:rsidRPr="003547EA">
        <w:rPr>
          <w:rFonts w:asciiTheme="majorHAnsi" w:hAnsiTheme="majorHAnsi" w:cstheme="majorHAnsi"/>
        </w:rPr>
        <w:t>gress rate, time to peak intensity, and peak intensity) will be</w:t>
      </w:r>
      <w:r w:rsidR="0003089B" w:rsidRPr="003547EA">
        <w:rPr>
          <w:rFonts w:asciiTheme="majorHAnsi" w:hAnsiTheme="majorHAnsi" w:cstheme="majorHAnsi"/>
        </w:rPr>
        <w:t xml:space="preserve"> compared with the level of incompetency found in the resin casts (Generations 0-4)</w:t>
      </w:r>
      <w:r w:rsidR="000524FB">
        <w:rPr>
          <w:rFonts w:asciiTheme="majorHAnsi" w:hAnsiTheme="majorHAnsi" w:cstheme="majorHAnsi"/>
        </w:rPr>
        <w:t xml:space="preserve"> </w:t>
      </w:r>
      <w:r w:rsidR="000524FB" w:rsidRPr="000524FB">
        <w:rPr>
          <w:rFonts w:asciiTheme="majorHAnsi" w:hAnsiTheme="majorHAnsi" w:cstheme="majorHAnsi"/>
          <w:color w:val="00B0F0"/>
        </w:rPr>
        <w:t>using whatever statistical package I have access to</w:t>
      </w:r>
      <w:r w:rsidR="0003089B" w:rsidRPr="000524FB">
        <w:rPr>
          <w:rFonts w:asciiTheme="majorHAnsi" w:hAnsiTheme="majorHAnsi" w:cstheme="majorHAnsi"/>
          <w:color w:val="00B0F0"/>
        </w:rPr>
        <w:t>.</w:t>
      </w:r>
    </w:p>
    <w:p w14:paraId="07FD152A" w14:textId="77777777" w:rsidR="000D6A1A" w:rsidRPr="003547EA" w:rsidRDefault="000D6A1A" w:rsidP="0003089B">
      <w:pPr>
        <w:rPr>
          <w:rFonts w:asciiTheme="majorHAnsi" w:hAnsiTheme="majorHAnsi" w:cstheme="majorHAnsi"/>
        </w:rPr>
      </w:pPr>
    </w:p>
    <w:p w14:paraId="703A2206" w14:textId="77777777" w:rsidR="0003089B" w:rsidRPr="003547EA" w:rsidRDefault="0003089B" w:rsidP="0003089B">
      <w:pPr>
        <w:rPr>
          <w:rFonts w:asciiTheme="majorHAnsi" w:hAnsiTheme="majorHAnsi" w:cstheme="majorHAnsi"/>
        </w:rPr>
      </w:pPr>
      <w:r w:rsidRPr="003547EA">
        <w:rPr>
          <w:rFonts w:asciiTheme="majorHAnsi" w:hAnsiTheme="majorHAnsi" w:cstheme="majorHAnsi"/>
        </w:rPr>
        <w:t xml:space="preserve"> Spearman’s rank correlation coefficients will be used to reflect the degree of relationships between variables. Significance will be indicated by two-sided p&lt;0.05.  </w:t>
      </w:r>
    </w:p>
    <w:p w14:paraId="442C79FC" w14:textId="79509515" w:rsidR="00D363A7" w:rsidRDefault="00D363A7" w:rsidP="00D363A7">
      <w:pPr>
        <w:rPr>
          <w:rFonts w:asciiTheme="majorHAnsi" w:hAnsiTheme="majorHAnsi" w:cstheme="majorHAnsi"/>
          <w:i/>
        </w:rPr>
      </w:pPr>
    </w:p>
    <w:p w14:paraId="7BEFE2C9" w14:textId="77777777" w:rsidR="00F0162D" w:rsidRPr="003547EA" w:rsidRDefault="00F0162D" w:rsidP="00D363A7">
      <w:pPr>
        <w:rPr>
          <w:rFonts w:asciiTheme="majorHAnsi" w:hAnsiTheme="majorHAnsi" w:cstheme="majorHAnsi"/>
          <w:i/>
        </w:rPr>
      </w:pPr>
    </w:p>
    <w:p w14:paraId="083935B6" w14:textId="16DED12F" w:rsidR="009947A9" w:rsidRPr="003547EA" w:rsidRDefault="00594D49">
      <w:pPr>
        <w:rPr>
          <w:rFonts w:asciiTheme="majorHAnsi" w:hAnsiTheme="majorHAnsi" w:cstheme="majorHAnsi"/>
        </w:rPr>
      </w:pPr>
      <w:r w:rsidRPr="003547EA">
        <w:rPr>
          <w:rStyle w:val="Heading2Char"/>
          <w:rFonts w:asciiTheme="majorHAnsi" w:eastAsiaTheme="minorEastAsia" w:hAnsiTheme="majorHAnsi" w:cstheme="majorHAnsi"/>
        </w:rPr>
        <w:t>6</w:t>
      </w:r>
      <w:r w:rsidR="000D6A1A" w:rsidRPr="003547EA">
        <w:rPr>
          <w:rStyle w:val="Heading2Char"/>
          <w:rFonts w:asciiTheme="majorHAnsi" w:eastAsiaTheme="minorEastAsia" w:hAnsiTheme="majorHAnsi" w:cstheme="majorHAnsi"/>
        </w:rPr>
        <w:t>.6</w:t>
      </w:r>
      <w:r w:rsidR="002C33EC" w:rsidRPr="003547EA">
        <w:rPr>
          <w:rStyle w:val="Heading2Char"/>
          <w:rFonts w:asciiTheme="majorHAnsi" w:eastAsiaTheme="minorEastAsia" w:hAnsiTheme="majorHAnsi" w:cstheme="majorHAnsi"/>
        </w:rPr>
        <w:t xml:space="preserve"> End of Trial</w:t>
      </w:r>
      <w:r w:rsidR="002C33EC" w:rsidRPr="003547EA">
        <w:rPr>
          <w:rFonts w:asciiTheme="majorHAnsi" w:hAnsiTheme="majorHAnsi" w:cstheme="majorHAnsi"/>
          <w:b/>
          <w:sz w:val="26"/>
          <w:szCs w:val="26"/>
        </w:rPr>
        <w:br/>
      </w:r>
      <w:r w:rsidR="002C33EC" w:rsidRPr="003547EA">
        <w:rPr>
          <w:rFonts w:asciiTheme="majorHAnsi" w:hAnsiTheme="majorHAnsi" w:cstheme="majorHAnsi"/>
        </w:rPr>
        <w:t xml:space="preserve">Participants will be informed that they can withdraw from the study at any time without giving a reason to do so. The study can also be terminated at the discretion of the Principal Investigator. </w:t>
      </w:r>
      <w:r w:rsidR="00297C9D" w:rsidRPr="003547EA">
        <w:rPr>
          <w:rFonts w:asciiTheme="majorHAnsi" w:hAnsiTheme="majorHAnsi" w:cstheme="majorHAnsi"/>
        </w:rPr>
        <w:br/>
      </w:r>
    </w:p>
    <w:p w14:paraId="21B7F506" w14:textId="7D08D6B6" w:rsidR="00982CC2" w:rsidRDefault="00982CC2" w:rsidP="00742CA8">
      <w:pPr>
        <w:rPr>
          <w:rFonts w:ascii="Calibri" w:hAnsi="Calibri"/>
          <w:b/>
        </w:rPr>
      </w:pPr>
      <w:r w:rsidRPr="00CB0FB4">
        <w:rPr>
          <w:rFonts w:ascii="Calibri" w:hAnsi="Calibri"/>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9947A9" w:rsidRPr="009947A9" w14:paraId="54BC6087" w14:textId="77777777" w:rsidTr="00742CA8">
        <w:trPr>
          <w:trHeight w:val="522"/>
        </w:trPr>
        <w:tc>
          <w:tcPr>
            <w:tcW w:w="8516" w:type="dxa"/>
            <w:shd w:val="clear" w:color="auto" w:fill="C6D9F1" w:themeFill="text2" w:themeFillTint="33"/>
          </w:tcPr>
          <w:p w14:paraId="59CFEE10" w14:textId="77777777" w:rsidR="009947A9" w:rsidRDefault="009947A9" w:rsidP="009947A9">
            <w:pPr>
              <w:rPr>
                <w:rFonts w:ascii="Calibri" w:hAnsi="Calibri"/>
                <w:b/>
              </w:rPr>
            </w:pPr>
          </w:p>
          <w:p w14:paraId="25E4C73E" w14:textId="675C11D0" w:rsidR="009947A9" w:rsidRPr="009947A9" w:rsidRDefault="002A1831" w:rsidP="00742CA8">
            <w:pPr>
              <w:pStyle w:val="Heading1"/>
            </w:pPr>
            <w:bookmarkStart w:id="18" w:name="_Toc321148784"/>
            <w:bookmarkStart w:id="19" w:name="_Toc321646579"/>
            <w:bookmarkStart w:id="20" w:name="_Toc321646661"/>
            <w:r>
              <w:t>7</w:t>
            </w:r>
            <w:r w:rsidR="00D209AF" w:rsidRPr="00D209AF">
              <w:t xml:space="preserve">. </w:t>
            </w:r>
            <w:r w:rsidR="00D209AF">
              <w:t>Equipment</w:t>
            </w:r>
            <w:bookmarkEnd w:id="18"/>
            <w:bookmarkEnd w:id="19"/>
            <w:bookmarkEnd w:id="20"/>
          </w:p>
        </w:tc>
      </w:tr>
    </w:tbl>
    <w:p w14:paraId="434D42F1" w14:textId="23996BAB" w:rsidR="009947A9" w:rsidRDefault="009947A9">
      <w:pPr>
        <w:rPr>
          <w:rFonts w:ascii="Calibri" w:hAnsi="Calibri"/>
          <w:b/>
        </w:rPr>
      </w:pPr>
    </w:p>
    <w:p w14:paraId="3CCA61A2" w14:textId="5D772154" w:rsidR="0026307E" w:rsidRDefault="00EC6258" w:rsidP="00BA52B7">
      <w:pPr>
        <w:rPr>
          <w:rFonts w:ascii="Calibri" w:hAnsi="Calibri"/>
          <w:b/>
        </w:rPr>
      </w:pPr>
      <w:r>
        <w:rPr>
          <w:rFonts w:ascii="Calibri" w:hAnsi="Calibri"/>
        </w:rPr>
        <w:t>10 mL syringe</w:t>
      </w:r>
      <w:r w:rsidR="00EA73A7">
        <w:rPr>
          <w:rFonts w:ascii="Calibri" w:hAnsi="Calibri"/>
        </w:rPr>
        <w:t>s</w:t>
      </w:r>
      <w:r>
        <w:rPr>
          <w:rFonts w:ascii="Calibri" w:hAnsi="Calibri"/>
        </w:rPr>
        <w:br/>
        <w:t>3 way tap</w:t>
      </w:r>
      <w:r w:rsidR="00C60FD5">
        <w:rPr>
          <w:rFonts w:ascii="Calibri" w:hAnsi="Calibri"/>
        </w:rPr>
        <w:br/>
        <w:t>Drip stand</w:t>
      </w:r>
      <w:r w:rsidR="002D31A1">
        <w:rPr>
          <w:rFonts w:ascii="Calibri" w:hAnsi="Calibri"/>
        </w:rPr>
        <w:br/>
      </w:r>
      <w:proofErr w:type="spellStart"/>
      <w:r w:rsidR="002D31A1">
        <w:rPr>
          <w:rFonts w:ascii="Calibri" w:hAnsi="Calibri"/>
        </w:rPr>
        <w:t>Tornique</w:t>
      </w:r>
      <w:r w:rsidR="00EA73A7">
        <w:rPr>
          <w:rFonts w:ascii="Calibri" w:hAnsi="Calibri"/>
        </w:rPr>
        <w:t>t</w:t>
      </w:r>
      <w:proofErr w:type="spellEnd"/>
      <w:r w:rsidR="00C60FD5">
        <w:rPr>
          <w:rFonts w:ascii="Calibri" w:hAnsi="Calibri"/>
        </w:rPr>
        <w:br/>
      </w:r>
      <w:r w:rsidR="00E94399">
        <w:rPr>
          <w:rFonts w:ascii="Calibri" w:hAnsi="Calibri"/>
        </w:rPr>
        <w:t>Precision Glide Cannulating Needle (0.5 x 38 mm)</w:t>
      </w:r>
      <w:r w:rsidR="00356B6C">
        <w:rPr>
          <w:rFonts w:ascii="Calibri" w:hAnsi="Calibri"/>
        </w:rPr>
        <w:br/>
        <w:t>Extension tubing</w:t>
      </w:r>
      <w:r w:rsidR="00356B6C">
        <w:rPr>
          <w:rFonts w:ascii="Calibri" w:hAnsi="Calibri"/>
        </w:rPr>
        <w:br/>
        <w:t>IV line</w:t>
      </w:r>
      <w:r w:rsidR="00356B6C">
        <w:rPr>
          <w:rFonts w:ascii="Calibri" w:hAnsi="Calibri"/>
        </w:rPr>
        <w:br/>
      </w:r>
      <w:r w:rsidR="00E94399">
        <w:rPr>
          <w:rFonts w:ascii="Calibri" w:hAnsi="Calibri"/>
        </w:rPr>
        <w:t>Tape</w:t>
      </w:r>
      <w:r w:rsidR="001A72FD">
        <w:rPr>
          <w:rFonts w:ascii="Calibri" w:hAnsi="Calibri"/>
        </w:rPr>
        <w:br/>
      </w:r>
      <w:r w:rsidR="00E94399">
        <w:rPr>
          <w:rFonts w:ascii="Calibri" w:hAnsi="Calibri"/>
        </w:rPr>
        <w:t>Gloves</w:t>
      </w:r>
      <w:r w:rsidR="00E94399">
        <w:rPr>
          <w:rFonts w:ascii="Calibri" w:hAnsi="Calibri"/>
        </w:rPr>
        <w:br/>
      </w:r>
      <w:proofErr w:type="spellStart"/>
      <w:r w:rsidR="00E94399">
        <w:rPr>
          <w:rFonts w:ascii="Calibri" w:hAnsi="Calibri"/>
        </w:rPr>
        <w:t>Alchohol</w:t>
      </w:r>
      <w:proofErr w:type="spellEnd"/>
      <w:r w:rsidR="00E94399">
        <w:rPr>
          <w:rFonts w:ascii="Calibri" w:hAnsi="Calibri"/>
        </w:rPr>
        <w:t xml:space="preserve"> prep pad</w:t>
      </w:r>
      <w:r w:rsidR="00EA73A7">
        <w:rPr>
          <w:rFonts w:ascii="Calibri" w:hAnsi="Calibri"/>
        </w:rPr>
        <w:t>s</w:t>
      </w:r>
      <w:r w:rsidR="002D31A1">
        <w:rPr>
          <w:rFonts w:ascii="Calibri" w:hAnsi="Calibri"/>
        </w:rPr>
        <w:t xml:space="preserve"> (70% isopropyl alcohol)</w:t>
      </w:r>
      <w:r w:rsidR="002D31A1">
        <w:rPr>
          <w:rFonts w:ascii="Calibri" w:hAnsi="Calibri"/>
        </w:rPr>
        <w:br/>
        <w:t>500mL intravenous infusion (sodium chloride 0.9%)</w:t>
      </w:r>
      <w:r w:rsidR="00C60FD5">
        <w:rPr>
          <w:rFonts w:ascii="Calibri" w:hAnsi="Calibri"/>
        </w:rPr>
        <w:br/>
      </w:r>
      <w:r w:rsidR="009947A9">
        <w:rPr>
          <w:rFonts w:ascii="Calibri" w:hAnsi="Calibri"/>
          <w:b/>
        </w:rPr>
        <w:lastRenderedPageBreak/>
        <w:br/>
      </w:r>
      <w:r w:rsidR="0026307E">
        <w:rPr>
          <w:rFonts w:ascii="Calibri" w:hAnsi="Calibri"/>
          <w:b/>
        </w:rPr>
        <w:t>Stuff for macerating amputated limbs (</w:t>
      </w:r>
      <w:r w:rsidR="001D783D">
        <w:rPr>
          <w:rFonts w:ascii="Calibri" w:hAnsi="Calibri"/>
          <w:b/>
        </w:rPr>
        <w:t xml:space="preserve">15% </w:t>
      </w:r>
      <w:proofErr w:type="spellStart"/>
      <w:r w:rsidR="001D783D">
        <w:rPr>
          <w:rFonts w:ascii="Calibri" w:hAnsi="Calibri"/>
          <w:b/>
        </w:rPr>
        <w:t>NaOH</w:t>
      </w:r>
      <w:proofErr w:type="spellEnd"/>
      <w:r w:rsidR="0026307E">
        <w:rPr>
          <w:rFonts w:ascii="Calibri" w:hAnsi="Calibri"/>
          <w:b/>
        </w:rPr>
        <w:t xml:space="preserve">, </w:t>
      </w:r>
      <w:proofErr w:type="gramStart"/>
      <w:r w:rsidR="0026307E">
        <w:rPr>
          <w:rFonts w:ascii="Calibri" w:hAnsi="Calibri"/>
          <w:b/>
        </w:rPr>
        <w:t>vats,….)</w:t>
      </w:r>
      <w:proofErr w:type="gramEnd"/>
    </w:p>
    <w:p w14:paraId="3E468C4D" w14:textId="77777777" w:rsidR="001D783D" w:rsidRDefault="001D783D" w:rsidP="00BA52B7">
      <w:pPr>
        <w:rPr>
          <w:rFonts w:ascii="Calibri" w:hAnsi="Calibri"/>
          <w:b/>
        </w:rPr>
      </w:pPr>
    </w:p>
    <w:p w14:paraId="3E10BE98" w14:textId="415AA6D4" w:rsidR="00C33878" w:rsidRPr="001D783D" w:rsidRDefault="001D783D" w:rsidP="00BA52B7">
      <w:pPr>
        <w:rPr>
          <w:rFonts w:ascii="Calibri" w:hAnsi="Calibri"/>
        </w:rPr>
      </w:pPr>
      <w:r>
        <w:rPr>
          <w:rFonts w:ascii="Calibri" w:hAnsi="Calibri"/>
        </w:rPr>
        <w:t xml:space="preserve">Resin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C33878" w14:paraId="0CEF37AA" w14:textId="77777777" w:rsidTr="00C33878">
        <w:tc>
          <w:tcPr>
            <w:tcW w:w="8516" w:type="dxa"/>
            <w:shd w:val="clear" w:color="auto" w:fill="C6D9F1" w:themeFill="text2" w:themeFillTint="33"/>
          </w:tcPr>
          <w:p w14:paraId="646BC168" w14:textId="77777777" w:rsidR="00C60FD5" w:rsidRDefault="00C60FD5" w:rsidP="00C33878">
            <w:pPr>
              <w:rPr>
                <w:rFonts w:ascii="Calibri" w:hAnsi="Calibri"/>
                <w:b/>
              </w:rPr>
            </w:pPr>
          </w:p>
          <w:p w14:paraId="53EED85D" w14:textId="570F4D24" w:rsidR="00C33878" w:rsidRDefault="002A1831" w:rsidP="00742CA8">
            <w:pPr>
              <w:pStyle w:val="Heading1"/>
            </w:pPr>
            <w:bookmarkStart w:id="21" w:name="_Toc321148785"/>
            <w:bookmarkStart w:id="22" w:name="_Toc321646580"/>
            <w:bookmarkStart w:id="23" w:name="_Toc321646662"/>
            <w:r>
              <w:t>8</w:t>
            </w:r>
            <w:r w:rsidR="00D209AF">
              <w:t>. Safety Reporting</w:t>
            </w:r>
            <w:bookmarkEnd w:id="21"/>
            <w:bookmarkEnd w:id="22"/>
            <w:bookmarkEnd w:id="23"/>
          </w:p>
        </w:tc>
      </w:tr>
    </w:tbl>
    <w:p w14:paraId="0F36FBBB" w14:textId="77777777" w:rsidR="00D209AF" w:rsidRPr="00514F30" w:rsidRDefault="00D209AF" w:rsidP="00D209AF">
      <w:pPr>
        <w:pStyle w:val="CommentText"/>
        <w:rPr>
          <w:rFonts w:ascii="Calibri" w:hAnsi="Calibri"/>
        </w:rPr>
      </w:pPr>
      <w:r>
        <w:rPr>
          <w:rFonts w:ascii="Calibri" w:hAnsi="Calibri"/>
          <w:b/>
        </w:rPr>
        <w:br/>
      </w:r>
      <w:r w:rsidRPr="00514F30">
        <w:rPr>
          <w:rFonts w:ascii="Calibri" w:hAnsi="Calibri"/>
        </w:rPr>
        <w:t>All safety events will be classified as follows:</w:t>
      </w:r>
      <w:bookmarkStart w:id="24" w:name="_Toc270944527"/>
      <w:bookmarkStart w:id="25" w:name="_Toc274215185"/>
    </w:p>
    <w:p w14:paraId="4B63E437" w14:textId="77777777" w:rsidR="00D209AF" w:rsidRPr="00514F30" w:rsidRDefault="00D209AF" w:rsidP="00D209AF">
      <w:pPr>
        <w:pStyle w:val="CommentText"/>
        <w:rPr>
          <w:rFonts w:ascii="Calibri" w:hAnsi="Calibri"/>
        </w:rPr>
      </w:pPr>
    </w:p>
    <w:p w14:paraId="5236DD0F" w14:textId="77777777" w:rsidR="00D209AF" w:rsidRPr="00204836" w:rsidRDefault="00D209AF" w:rsidP="00204836">
      <w:pPr>
        <w:rPr>
          <w:rFonts w:ascii="Calibri" w:hAnsi="Calibri"/>
          <w:b/>
          <w:i/>
        </w:rPr>
      </w:pPr>
      <w:r w:rsidRPr="00204836">
        <w:rPr>
          <w:rFonts w:ascii="Calibri" w:hAnsi="Calibri"/>
          <w:b/>
          <w:i/>
        </w:rPr>
        <w:t>Adverse Event (AE)</w:t>
      </w:r>
      <w:bookmarkEnd w:id="24"/>
      <w:bookmarkEnd w:id="25"/>
    </w:p>
    <w:p w14:paraId="1DCB6271" w14:textId="77777777" w:rsidR="00D209AF" w:rsidRPr="00514F30" w:rsidRDefault="00D209AF" w:rsidP="00D209AF">
      <w:pPr>
        <w:pStyle w:val="CommentText"/>
        <w:rPr>
          <w:rFonts w:ascii="Calibri" w:hAnsi="Calibri"/>
        </w:rPr>
      </w:pPr>
      <w:r w:rsidRPr="00514F30">
        <w:rPr>
          <w:rFonts w:ascii="Calibri" w:hAnsi="Calibri"/>
        </w:rPr>
        <w:t>An AE or adverse experience is:</w:t>
      </w:r>
    </w:p>
    <w:p w14:paraId="1E8C424C" w14:textId="77777777" w:rsidR="00D209AF" w:rsidRPr="00514F30" w:rsidRDefault="00D209AF" w:rsidP="00D209AF">
      <w:pPr>
        <w:pStyle w:val="CommentText"/>
        <w:rPr>
          <w:rFonts w:ascii="Calibri" w:hAnsi="Calibri"/>
        </w:rPr>
      </w:pPr>
      <w:r w:rsidRPr="00514F30">
        <w:rPr>
          <w:rFonts w:ascii="Calibri" w:hAnsi="Calibri"/>
        </w:rPr>
        <w:t>Any untoward medical occurrence in a patient or clinical investigation in which participants are administered a medicinal product, which does not necessarily have to have a causal relationship with this treatment (the study medication).</w:t>
      </w:r>
      <w:bookmarkStart w:id="26" w:name="_Toc64197518"/>
      <w:bookmarkStart w:id="27" w:name="_Toc270944528"/>
      <w:bookmarkStart w:id="28" w:name="_Toc274215186"/>
    </w:p>
    <w:p w14:paraId="05D82EC3" w14:textId="77777777" w:rsidR="00D209AF" w:rsidRPr="00514F30" w:rsidRDefault="00D209AF" w:rsidP="00D209AF">
      <w:pPr>
        <w:pStyle w:val="CommentText"/>
        <w:rPr>
          <w:rFonts w:ascii="Calibri" w:hAnsi="Calibri"/>
        </w:rPr>
      </w:pPr>
    </w:p>
    <w:p w14:paraId="51869773" w14:textId="77777777" w:rsidR="00D209AF" w:rsidRPr="00204836" w:rsidRDefault="00D209AF" w:rsidP="00204836">
      <w:pPr>
        <w:rPr>
          <w:rFonts w:ascii="Calibri" w:hAnsi="Calibri"/>
          <w:b/>
          <w:i/>
        </w:rPr>
      </w:pPr>
      <w:r w:rsidRPr="00204836">
        <w:rPr>
          <w:rFonts w:ascii="Calibri" w:hAnsi="Calibri"/>
          <w:b/>
          <w:i/>
        </w:rPr>
        <w:t>Adverse Reaction</w:t>
      </w:r>
      <w:bookmarkEnd w:id="26"/>
      <w:r w:rsidRPr="00204836">
        <w:rPr>
          <w:rFonts w:ascii="Calibri" w:hAnsi="Calibri"/>
          <w:b/>
          <w:i/>
        </w:rPr>
        <w:t xml:space="preserve"> (AR)</w:t>
      </w:r>
      <w:bookmarkEnd w:id="27"/>
      <w:bookmarkEnd w:id="28"/>
    </w:p>
    <w:p w14:paraId="336D01DA" w14:textId="77777777" w:rsidR="00D209AF" w:rsidRPr="00514F30" w:rsidRDefault="00D209AF" w:rsidP="00D209AF">
      <w:pPr>
        <w:pStyle w:val="CommentText"/>
        <w:rPr>
          <w:rFonts w:ascii="Calibri" w:hAnsi="Calibri"/>
        </w:rPr>
      </w:pPr>
      <w:r w:rsidRPr="00514F30">
        <w:rPr>
          <w:rFonts w:ascii="Calibri" w:hAnsi="Calibri"/>
        </w:rPr>
        <w:t>All untoward and unintended responses to a medicinal product related to any dose.</w:t>
      </w:r>
    </w:p>
    <w:p w14:paraId="77ECD152" w14:textId="77777777" w:rsidR="00D209AF" w:rsidRPr="00514F30" w:rsidRDefault="00D209AF" w:rsidP="00D209AF">
      <w:pPr>
        <w:pStyle w:val="CommentText"/>
        <w:rPr>
          <w:rFonts w:ascii="Calibri" w:hAnsi="Calibri"/>
        </w:rPr>
      </w:pPr>
      <w:r w:rsidRPr="00514F30">
        <w:rPr>
          <w:rFonts w:ascii="Calibri" w:hAnsi="Calibri"/>
        </w:rPr>
        <w:t xml:space="preserve">A causal relationship between a study medication and the AE must be reasonably possible as judged by either the reporting healthcare professional or the PI. </w:t>
      </w:r>
      <w:bookmarkStart w:id="29" w:name="_Toc64197519"/>
    </w:p>
    <w:p w14:paraId="532741C8" w14:textId="77777777" w:rsidR="00D209AF" w:rsidRPr="00514F30" w:rsidRDefault="00D209AF" w:rsidP="00D209AF">
      <w:pPr>
        <w:pStyle w:val="CommentText"/>
        <w:rPr>
          <w:rFonts w:ascii="Calibri" w:hAnsi="Calibri"/>
        </w:rPr>
      </w:pPr>
    </w:p>
    <w:p w14:paraId="24136D66" w14:textId="77777777" w:rsidR="00D209AF" w:rsidRPr="00204836" w:rsidRDefault="00D209AF" w:rsidP="00204836">
      <w:pPr>
        <w:rPr>
          <w:rFonts w:ascii="Calibri" w:hAnsi="Calibri"/>
          <w:b/>
          <w:i/>
        </w:rPr>
      </w:pPr>
      <w:bookmarkStart w:id="30" w:name="_Toc531145841"/>
      <w:bookmarkStart w:id="31" w:name="_Toc64197520"/>
      <w:bookmarkStart w:id="32" w:name="_Toc270944529"/>
      <w:bookmarkStart w:id="33" w:name="_Toc274215187"/>
      <w:bookmarkStart w:id="34" w:name="_Toc161299438"/>
      <w:bookmarkStart w:id="35" w:name="_Toc321148786"/>
      <w:bookmarkEnd w:id="29"/>
      <w:r w:rsidRPr="00204836">
        <w:rPr>
          <w:rFonts w:ascii="Calibri" w:hAnsi="Calibri"/>
          <w:b/>
          <w:i/>
        </w:rPr>
        <w:t>Serious Adverse Event</w:t>
      </w:r>
      <w:bookmarkEnd w:id="30"/>
      <w:r w:rsidRPr="00204836">
        <w:rPr>
          <w:rFonts w:ascii="Calibri" w:hAnsi="Calibri"/>
          <w:b/>
          <w:i/>
        </w:rPr>
        <w:t xml:space="preserve"> or Serious Adverse Reaction</w:t>
      </w:r>
      <w:bookmarkEnd w:id="31"/>
      <w:bookmarkEnd w:id="32"/>
      <w:bookmarkEnd w:id="33"/>
      <w:bookmarkEnd w:id="34"/>
      <w:bookmarkEnd w:id="35"/>
    </w:p>
    <w:p w14:paraId="1858B06F" w14:textId="77777777" w:rsidR="00D209AF" w:rsidRPr="00514F30" w:rsidRDefault="00D209AF" w:rsidP="00D209AF">
      <w:pPr>
        <w:rPr>
          <w:rFonts w:ascii="Calibri" w:hAnsi="Calibri"/>
        </w:rPr>
      </w:pPr>
      <w:r w:rsidRPr="00514F30">
        <w:rPr>
          <w:rFonts w:ascii="Calibri" w:hAnsi="Calibri"/>
        </w:rPr>
        <w:t>A serious adverse event or reaction is any untoward medical occurrence that at any dose:</w:t>
      </w:r>
    </w:p>
    <w:p w14:paraId="1D7545A7" w14:textId="77777777" w:rsidR="00D209AF" w:rsidRPr="00514F30" w:rsidRDefault="00D209AF" w:rsidP="00D209AF">
      <w:pPr>
        <w:numPr>
          <w:ilvl w:val="0"/>
          <w:numId w:val="1"/>
        </w:numPr>
        <w:rPr>
          <w:rFonts w:ascii="Calibri" w:hAnsi="Calibri"/>
        </w:rPr>
      </w:pPr>
      <w:r w:rsidRPr="00514F30">
        <w:rPr>
          <w:rFonts w:ascii="Calibri" w:hAnsi="Calibri" w:cs="Arial"/>
        </w:rPr>
        <w:t>Results in death,</w:t>
      </w:r>
    </w:p>
    <w:p w14:paraId="36FDDB67" w14:textId="77777777" w:rsidR="00D209AF" w:rsidRPr="00514F30" w:rsidRDefault="00D209AF" w:rsidP="00D209AF">
      <w:pPr>
        <w:numPr>
          <w:ilvl w:val="0"/>
          <w:numId w:val="1"/>
        </w:numPr>
        <w:rPr>
          <w:rFonts w:ascii="Calibri" w:hAnsi="Calibri"/>
        </w:rPr>
      </w:pPr>
      <w:r w:rsidRPr="00514F30">
        <w:rPr>
          <w:rFonts w:ascii="Calibri" w:hAnsi="Calibri" w:cs="Arial"/>
        </w:rPr>
        <w:t>Is life-threatening</w:t>
      </w:r>
    </w:p>
    <w:p w14:paraId="43D6E00D" w14:textId="77777777" w:rsidR="00D209AF" w:rsidRPr="00514F30" w:rsidRDefault="00D209AF" w:rsidP="00D209AF">
      <w:pPr>
        <w:numPr>
          <w:ilvl w:val="0"/>
          <w:numId w:val="1"/>
        </w:numPr>
        <w:rPr>
          <w:rFonts w:ascii="Calibri" w:hAnsi="Calibri"/>
        </w:rPr>
      </w:pPr>
      <w:r w:rsidRPr="00514F30">
        <w:rPr>
          <w:rFonts w:ascii="Calibri" w:hAnsi="Calibri"/>
        </w:rPr>
        <w:t xml:space="preserve">Requires inpatient </w:t>
      </w:r>
      <w:proofErr w:type="spellStart"/>
      <w:r w:rsidRPr="00514F30">
        <w:rPr>
          <w:rFonts w:ascii="Calibri" w:hAnsi="Calibri"/>
        </w:rPr>
        <w:t>hospitalisation</w:t>
      </w:r>
      <w:proofErr w:type="spellEnd"/>
      <w:r w:rsidRPr="00514F30">
        <w:rPr>
          <w:rFonts w:ascii="Calibri" w:hAnsi="Calibri"/>
        </w:rPr>
        <w:t xml:space="preserve"> or prolongs existing </w:t>
      </w:r>
      <w:proofErr w:type="spellStart"/>
      <w:r w:rsidRPr="00514F30">
        <w:rPr>
          <w:rFonts w:ascii="Calibri" w:hAnsi="Calibri"/>
        </w:rPr>
        <w:t>hospitalisation</w:t>
      </w:r>
      <w:proofErr w:type="spellEnd"/>
      <w:r w:rsidRPr="00514F30">
        <w:rPr>
          <w:rFonts w:ascii="Calibri" w:hAnsi="Calibri"/>
        </w:rPr>
        <w:t>,</w:t>
      </w:r>
    </w:p>
    <w:p w14:paraId="255E2033" w14:textId="77777777" w:rsidR="00D209AF" w:rsidRPr="00514F30" w:rsidRDefault="00D209AF" w:rsidP="00D209AF">
      <w:pPr>
        <w:numPr>
          <w:ilvl w:val="0"/>
          <w:numId w:val="1"/>
        </w:numPr>
        <w:rPr>
          <w:rFonts w:ascii="Calibri" w:hAnsi="Calibri"/>
        </w:rPr>
      </w:pPr>
      <w:r w:rsidRPr="00514F30">
        <w:rPr>
          <w:rFonts w:ascii="Calibri" w:hAnsi="Calibri" w:cs="Arial"/>
        </w:rPr>
        <w:t>Results in persistent or significant disability/incapacity, or</w:t>
      </w:r>
    </w:p>
    <w:p w14:paraId="27061753" w14:textId="77777777" w:rsidR="00D209AF" w:rsidRPr="00514F30" w:rsidRDefault="00D209AF" w:rsidP="00D209AF">
      <w:pPr>
        <w:numPr>
          <w:ilvl w:val="0"/>
          <w:numId w:val="1"/>
        </w:numPr>
        <w:rPr>
          <w:rFonts w:ascii="Calibri" w:hAnsi="Calibri"/>
        </w:rPr>
      </w:pPr>
      <w:r w:rsidRPr="00514F30">
        <w:rPr>
          <w:rFonts w:ascii="Calibri" w:hAnsi="Calibri" w:cs="Arial"/>
        </w:rPr>
        <w:t>Is a congenital anomaly/birth defect.</w:t>
      </w:r>
    </w:p>
    <w:p w14:paraId="2FB999FA" w14:textId="77777777" w:rsidR="00D209AF" w:rsidRPr="00514F30" w:rsidRDefault="00D209AF" w:rsidP="00D209AF">
      <w:pPr>
        <w:ind w:left="724"/>
        <w:rPr>
          <w:rFonts w:ascii="Calibri" w:hAnsi="Calibri" w:cs="Arial"/>
        </w:rPr>
      </w:pPr>
    </w:p>
    <w:p w14:paraId="7E54E8F4" w14:textId="77777777" w:rsidR="00D209AF" w:rsidRPr="00204836" w:rsidRDefault="00D209AF" w:rsidP="00204836">
      <w:pPr>
        <w:rPr>
          <w:rFonts w:ascii="Calibri" w:hAnsi="Calibri"/>
          <w:b/>
          <w:i/>
        </w:rPr>
      </w:pPr>
      <w:bookmarkStart w:id="36" w:name="_Toc270944530"/>
      <w:bookmarkStart w:id="37" w:name="_Toc274215188"/>
      <w:bookmarkStart w:id="38" w:name="_Toc161299439"/>
      <w:bookmarkStart w:id="39" w:name="_Toc321148787"/>
      <w:r w:rsidRPr="00204836">
        <w:rPr>
          <w:rFonts w:ascii="Calibri" w:hAnsi="Calibri"/>
          <w:b/>
          <w:i/>
        </w:rPr>
        <w:t>Expected Serious Adverse Events/Reactions</w:t>
      </w:r>
      <w:bookmarkEnd w:id="36"/>
      <w:bookmarkEnd w:id="37"/>
      <w:bookmarkEnd w:id="38"/>
      <w:bookmarkEnd w:id="39"/>
    </w:p>
    <w:p w14:paraId="1A79D061" w14:textId="77777777" w:rsidR="00D209AF" w:rsidRPr="009C50A2" w:rsidRDefault="00D209AF" w:rsidP="009C50A2">
      <w:pPr>
        <w:rPr>
          <w:rFonts w:ascii="Calibri" w:hAnsi="Calibri"/>
        </w:rPr>
      </w:pPr>
      <w:bookmarkStart w:id="40" w:name="_Toc161299440"/>
      <w:r w:rsidRPr="009C50A2">
        <w:rPr>
          <w:rFonts w:ascii="Calibri" w:hAnsi="Calibri"/>
        </w:rPr>
        <w:t>No serious adverse reactions are expected.</w:t>
      </w:r>
      <w:bookmarkEnd w:id="40"/>
      <w:r w:rsidRPr="009C50A2">
        <w:rPr>
          <w:rFonts w:ascii="Calibri" w:hAnsi="Calibri"/>
        </w:rPr>
        <w:t xml:space="preserve"> </w:t>
      </w:r>
    </w:p>
    <w:p w14:paraId="4E3BD6E7" w14:textId="77777777" w:rsidR="00D209AF" w:rsidRPr="009C50A2" w:rsidRDefault="00D209AF" w:rsidP="009C50A2"/>
    <w:p w14:paraId="68B04890" w14:textId="77777777" w:rsidR="00D209AF" w:rsidRPr="00204836" w:rsidRDefault="00D209AF" w:rsidP="00204836">
      <w:pPr>
        <w:rPr>
          <w:rFonts w:ascii="Calibri" w:hAnsi="Calibri"/>
          <w:b/>
          <w:i/>
        </w:rPr>
      </w:pPr>
      <w:bookmarkStart w:id="41" w:name="_Toc270944531"/>
      <w:bookmarkStart w:id="42" w:name="_Toc274215189"/>
      <w:bookmarkStart w:id="43" w:name="_Toc161299441"/>
      <w:bookmarkStart w:id="44" w:name="_Toc321148788"/>
      <w:r w:rsidRPr="00204836">
        <w:rPr>
          <w:rFonts w:ascii="Calibri" w:hAnsi="Calibri"/>
          <w:b/>
          <w:i/>
        </w:rPr>
        <w:t>Suspected Unexpected Serious Adverse Reactions (SUSAR)</w:t>
      </w:r>
      <w:bookmarkEnd w:id="41"/>
      <w:bookmarkEnd w:id="42"/>
      <w:bookmarkEnd w:id="43"/>
      <w:bookmarkEnd w:id="44"/>
    </w:p>
    <w:p w14:paraId="4DDCA4B0" w14:textId="77777777" w:rsidR="00D209AF" w:rsidRPr="00514F30" w:rsidRDefault="00D209AF" w:rsidP="00D209AF">
      <w:pPr>
        <w:rPr>
          <w:rFonts w:ascii="Calibri" w:hAnsi="Calibri"/>
        </w:rPr>
      </w:pPr>
      <w:r w:rsidRPr="00514F30">
        <w:rPr>
          <w:rFonts w:ascii="Calibri" w:hAnsi="Calibri"/>
        </w:rPr>
        <w:t>All serious adverse reaction</w:t>
      </w:r>
      <w:bookmarkStart w:id="45" w:name="_Toc64197522"/>
      <w:bookmarkStart w:id="46" w:name="_Toc270602581"/>
      <w:r w:rsidRPr="00514F30">
        <w:rPr>
          <w:rFonts w:ascii="Calibri" w:hAnsi="Calibri"/>
        </w:rPr>
        <w:t>s where a causal relationship is identified will be considered to be SUSAR’s.</w:t>
      </w:r>
    </w:p>
    <w:p w14:paraId="24A6CEC1" w14:textId="77777777" w:rsidR="00D209AF" w:rsidRPr="00514F30" w:rsidRDefault="00D209AF" w:rsidP="00D209AF">
      <w:pPr>
        <w:ind w:left="907"/>
        <w:rPr>
          <w:rFonts w:ascii="Calibri" w:hAnsi="Calibri"/>
        </w:rPr>
      </w:pPr>
    </w:p>
    <w:p w14:paraId="2E567B49" w14:textId="77777777" w:rsidR="00D209AF" w:rsidRPr="00204836" w:rsidRDefault="00D209AF" w:rsidP="00204836">
      <w:pPr>
        <w:rPr>
          <w:rFonts w:ascii="Calibri" w:hAnsi="Calibri"/>
          <w:b/>
          <w:i/>
        </w:rPr>
      </w:pPr>
      <w:bookmarkStart w:id="47" w:name="_Toc270944532"/>
      <w:bookmarkStart w:id="48" w:name="_Toc274215190"/>
      <w:bookmarkStart w:id="49" w:name="_Toc161299442"/>
      <w:bookmarkStart w:id="50" w:name="_Toc321148789"/>
      <w:r w:rsidRPr="00204836">
        <w:rPr>
          <w:rFonts w:ascii="Calibri" w:hAnsi="Calibri"/>
          <w:b/>
          <w:i/>
        </w:rPr>
        <w:t>Reporting Procedures for All Adverse Events</w:t>
      </w:r>
      <w:bookmarkEnd w:id="45"/>
      <w:bookmarkEnd w:id="46"/>
      <w:bookmarkEnd w:id="47"/>
      <w:bookmarkEnd w:id="48"/>
      <w:bookmarkEnd w:id="49"/>
      <w:bookmarkEnd w:id="50"/>
    </w:p>
    <w:p w14:paraId="46C469B3" w14:textId="77777777" w:rsidR="00D209AF" w:rsidRPr="00514F30" w:rsidRDefault="00D209AF" w:rsidP="00D209AF">
      <w:pPr>
        <w:rPr>
          <w:rFonts w:ascii="Calibri" w:hAnsi="Calibri" w:cs="Arial"/>
        </w:rPr>
      </w:pPr>
      <w:r w:rsidRPr="00514F30">
        <w:rPr>
          <w:rFonts w:ascii="Calibri" w:hAnsi="Calibri" w:cs="Arial"/>
        </w:rPr>
        <w:t xml:space="preserve">All AEs occurring during the study observed by the PI or reported by the participant, whether or not attributed to </w:t>
      </w:r>
      <w:r w:rsidRPr="00514F30">
        <w:rPr>
          <w:rFonts w:ascii="Calibri" w:hAnsi="Calibri" w:cs="Arial"/>
          <w:iCs/>
        </w:rPr>
        <w:t>study medication</w:t>
      </w:r>
      <w:r w:rsidRPr="00514F30">
        <w:rPr>
          <w:rFonts w:ascii="Calibri" w:hAnsi="Calibri" w:cs="Arial"/>
        </w:rPr>
        <w:t xml:space="preserve">, will be recorded on the CRF.  </w:t>
      </w:r>
    </w:p>
    <w:p w14:paraId="7817CB1F" w14:textId="77777777" w:rsidR="00D209AF" w:rsidRPr="00514F30" w:rsidRDefault="00D209AF" w:rsidP="00D209AF">
      <w:pPr>
        <w:ind w:left="724"/>
        <w:rPr>
          <w:rFonts w:ascii="Calibri" w:hAnsi="Calibri" w:cs="Arial"/>
        </w:rPr>
      </w:pPr>
    </w:p>
    <w:p w14:paraId="43D84EF6" w14:textId="77777777" w:rsidR="00D209AF" w:rsidRPr="00514F30" w:rsidRDefault="00D209AF" w:rsidP="00D209AF">
      <w:pPr>
        <w:rPr>
          <w:rFonts w:ascii="Calibri" w:hAnsi="Calibri" w:cs="Arial"/>
        </w:rPr>
      </w:pPr>
      <w:r w:rsidRPr="00514F30">
        <w:rPr>
          <w:rFonts w:ascii="Calibri" w:hAnsi="Calibri" w:cs="Arial"/>
        </w:rPr>
        <w:t xml:space="preserve">The following information will be recorded: patient study number, description of adverse event, date of onset and end date, severity, assessment of relatedness to </w:t>
      </w:r>
      <w:r w:rsidRPr="00514F30">
        <w:rPr>
          <w:rFonts w:ascii="Calibri" w:hAnsi="Calibri" w:cs="Arial"/>
          <w:iCs/>
        </w:rPr>
        <w:t>study medication</w:t>
      </w:r>
      <w:r w:rsidRPr="00514F30">
        <w:rPr>
          <w:rFonts w:ascii="Calibri" w:hAnsi="Calibri" w:cs="Arial"/>
        </w:rPr>
        <w:t xml:space="preserve">, other suspected drug or device and action taken.  Follow-up information should be provided as necessary. </w:t>
      </w:r>
    </w:p>
    <w:p w14:paraId="5C5A0004" w14:textId="77777777" w:rsidR="00D209AF" w:rsidRPr="00514F30" w:rsidRDefault="00D209AF" w:rsidP="00D209AF">
      <w:pPr>
        <w:ind w:left="724"/>
        <w:rPr>
          <w:rFonts w:ascii="Calibri" w:hAnsi="Calibri" w:cs="Arial"/>
        </w:rPr>
      </w:pPr>
    </w:p>
    <w:p w14:paraId="03BF92B1" w14:textId="77777777" w:rsidR="00D209AF" w:rsidRPr="00514F30" w:rsidRDefault="00D209AF" w:rsidP="00D209AF">
      <w:pPr>
        <w:rPr>
          <w:rFonts w:ascii="Calibri" w:hAnsi="Calibri" w:cs="Arial"/>
          <w:iCs/>
        </w:rPr>
      </w:pPr>
      <w:r w:rsidRPr="00514F30">
        <w:rPr>
          <w:rFonts w:ascii="Calibri" w:hAnsi="Calibri" w:cs="Arial"/>
        </w:rPr>
        <w:lastRenderedPageBreak/>
        <w:t xml:space="preserve">AEs considered related to the study medication as judged by a medically qualified investigator or the sponsor will be followed until resolution or the event is considered stable.  </w:t>
      </w:r>
      <w:r w:rsidRPr="00514F30">
        <w:rPr>
          <w:rFonts w:ascii="Calibri" w:hAnsi="Calibri" w:cs="Arial"/>
          <w:iCs/>
        </w:rPr>
        <w:t>All related AEs that result in a participant’s withdrawal from the study or are present at the end of the study, will be followed up until a satisfactory resolution occurs.</w:t>
      </w:r>
    </w:p>
    <w:p w14:paraId="676B3FBA" w14:textId="77777777" w:rsidR="00D209AF" w:rsidRPr="00514F30" w:rsidRDefault="00D209AF" w:rsidP="00D209AF">
      <w:pPr>
        <w:ind w:left="905"/>
        <w:rPr>
          <w:rFonts w:ascii="Calibri" w:hAnsi="Calibri" w:cs="Arial"/>
          <w:iCs/>
        </w:rPr>
      </w:pPr>
    </w:p>
    <w:p w14:paraId="1878C1F3" w14:textId="77777777" w:rsidR="00D209AF" w:rsidRPr="00514F30" w:rsidRDefault="00D209AF" w:rsidP="00D209AF">
      <w:pPr>
        <w:rPr>
          <w:rFonts w:ascii="Calibri" w:hAnsi="Calibri" w:cs="Arial"/>
        </w:rPr>
      </w:pPr>
      <w:r w:rsidRPr="00514F30">
        <w:rPr>
          <w:rFonts w:ascii="Calibri" w:hAnsi="Calibri" w:cs="Arial"/>
        </w:rPr>
        <w:t>Should a participant be withdrawn from the study due to a serious adverse event then the participant will undergo an end of study assessment and be given appropriate care under medical supervision until symptoms cease or the condition becomes stable.</w:t>
      </w:r>
    </w:p>
    <w:p w14:paraId="6BB55906" w14:textId="77777777" w:rsidR="00D209AF" w:rsidRPr="00514F30" w:rsidRDefault="00D209AF" w:rsidP="00D209AF">
      <w:pPr>
        <w:rPr>
          <w:rFonts w:ascii="Calibri" w:hAnsi="Calibri" w:cs="Arial"/>
        </w:rPr>
      </w:pPr>
    </w:p>
    <w:p w14:paraId="27251B8A" w14:textId="77777777" w:rsidR="00D209AF" w:rsidRPr="00514F30" w:rsidRDefault="00D209AF" w:rsidP="00D209AF">
      <w:pPr>
        <w:rPr>
          <w:rFonts w:ascii="Calibri" w:hAnsi="Calibri" w:cs="Arial"/>
        </w:rPr>
      </w:pPr>
      <w:r w:rsidRPr="00514F30">
        <w:rPr>
          <w:rFonts w:ascii="Calibri" w:hAnsi="Calibri" w:cs="Arial"/>
        </w:rPr>
        <w:t xml:space="preserve">The relationship of AEs to the study medication will be assessed by a medically qualified investigator. </w:t>
      </w:r>
    </w:p>
    <w:p w14:paraId="559E4763" w14:textId="77777777" w:rsidR="00D209AF" w:rsidRPr="00514F30" w:rsidRDefault="00D209AF" w:rsidP="00D209AF">
      <w:pPr>
        <w:rPr>
          <w:rFonts w:ascii="Calibri" w:hAnsi="Calibri" w:cs="Arial"/>
        </w:rPr>
      </w:pPr>
    </w:p>
    <w:p w14:paraId="34257B08" w14:textId="77777777" w:rsidR="00D209AF" w:rsidRPr="00514F30" w:rsidRDefault="00D209AF" w:rsidP="00D209AF">
      <w:pPr>
        <w:rPr>
          <w:rFonts w:ascii="Calibri" w:hAnsi="Calibri" w:cs="Arial"/>
        </w:rPr>
      </w:pPr>
      <w:r w:rsidRPr="00514F30">
        <w:rPr>
          <w:rFonts w:ascii="Calibri" w:hAnsi="Calibri" w:cs="Arial"/>
        </w:rPr>
        <w:t>Any pregnancy occurring during the clinical study and the outcome of the pregnancy will be recorded and followed up for congenital abnormality or birth defect.</w:t>
      </w:r>
    </w:p>
    <w:p w14:paraId="1CEDA21F" w14:textId="77777777" w:rsidR="00D209AF" w:rsidRPr="00514F30" w:rsidRDefault="00D209AF" w:rsidP="00D209AF">
      <w:pPr>
        <w:rPr>
          <w:rFonts w:ascii="Calibri" w:hAnsi="Calibri" w:cs="Arial"/>
        </w:rPr>
      </w:pPr>
    </w:p>
    <w:p w14:paraId="63714C49" w14:textId="77777777" w:rsidR="00D209AF" w:rsidRPr="00204836" w:rsidRDefault="00D209AF" w:rsidP="00204836">
      <w:pPr>
        <w:rPr>
          <w:rFonts w:ascii="Calibri" w:hAnsi="Calibri"/>
          <w:b/>
          <w:i/>
        </w:rPr>
      </w:pPr>
      <w:bookmarkStart w:id="51" w:name="_Toc531145843"/>
      <w:bookmarkStart w:id="52" w:name="_Toc64197523"/>
      <w:bookmarkStart w:id="53" w:name="_Toc270602582"/>
      <w:bookmarkStart w:id="54" w:name="_Toc270944533"/>
      <w:bookmarkStart w:id="55" w:name="_Toc274215191"/>
      <w:bookmarkStart w:id="56" w:name="_Toc161299443"/>
      <w:bookmarkStart w:id="57" w:name="_Toc321148790"/>
      <w:r w:rsidRPr="00204836">
        <w:rPr>
          <w:rFonts w:ascii="Calibri" w:hAnsi="Calibri"/>
          <w:b/>
          <w:i/>
        </w:rPr>
        <w:t>Reporting Procedures for Serious Adverse Events</w:t>
      </w:r>
      <w:bookmarkEnd w:id="51"/>
      <w:bookmarkEnd w:id="52"/>
      <w:bookmarkEnd w:id="53"/>
      <w:bookmarkEnd w:id="54"/>
      <w:bookmarkEnd w:id="55"/>
      <w:bookmarkEnd w:id="56"/>
      <w:bookmarkEnd w:id="57"/>
    </w:p>
    <w:p w14:paraId="0C88823C" w14:textId="77777777" w:rsidR="00D209AF" w:rsidRPr="00514F30" w:rsidRDefault="00D209AF" w:rsidP="00D209AF">
      <w:pPr>
        <w:rPr>
          <w:rFonts w:ascii="Calibri" w:hAnsi="Calibri" w:cs="Arial"/>
        </w:rPr>
      </w:pPr>
      <w:r w:rsidRPr="00514F30">
        <w:rPr>
          <w:rFonts w:ascii="Calibri" w:hAnsi="Calibri" w:cs="Arial"/>
        </w:rPr>
        <w:t xml:space="preserve">All Serious Adverse Events </w:t>
      </w:r>
      <w:r>
        <w:rPr>
          <w:rFonts w:ascii="Calibri" w:hAnsi="Calibri" w:cs="Arial"/>
        </w:rPr>
        <w:t>will be reported to the Head of Department</w:t>
      </w:r>
      <w:r w:rsidRPr="00514F30">
        <w:rPr>
          <w:rFonts w:ascii="Calibri" w:hAnsi="Calibri" w:cs="Arial"/>
        </w:rPr>
        <w:t xml:space="preserve"> within 72 hours of the event</w:t>
      </w:r>
      <w:r>
        <w:rPr>
          <w:rFonts w:ascii="Calibri" w:hAnsi="Calibri" w:cs="Arial"/>
        </w:rPr>
        <w:t xml:space="preserve"> for further action</w:t>
      </w:r>
      <w:r w:rsidRPr="00514F30">
        <w:rPr>
          <w:rFonts w:ascii="Calibri" w:hAnsi="Calibri" w:cs="Arial"/>
        </w:rPr>
        <w:t xml:space="preserve">. </w:t>
      </w:r>
    </w:p>
    <w:p w14:paraId="20BBB746" w14:textId="77777777" w:rsidR="00877819" w:rsidRDefault="00D209AF">
      <w:pPr>
        <w:rPr>
          <w:rFonts w:ascii="Calibri" w:hAnsi="Calibri"/>
          <w:b/>
          <w:sz w:val="32"/>
        </w:rPr>
      </w:pPr>
      <w:r>
        <w:rPr>
          <w:rFonts w:ascii="Calibri" w:hAnsi="Calibri"/>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877819" w14:paraId="09394DC9" w14:textId="77777777" w:rsidTr="00877819">
        <w:tc>
          <w:tcPr>
            <w:tcW w:w="8516" w:type="dxa"/>
            <w:shd w:val="clear" w:color="auto" w:fill="C6D9F1" w:themeFill="text2" w:themeFillTint="33"/>
          </w:tcPr>
          <w:p w14:paraId="6DF0BBCF" w14:textId="77777777" w:rsidR="00877819" w:rsidRPr="00877819" w:rsidRDefault="00877819" w:rsidP="00877819">
            <w:pPr>
              <w:rPr>
                <w:rFonts w:ascii="Calibri" w:hAnsi="Calibri"/>
                <w:b/>
              </w:rPr>
            </w:pPr>
          </w:p>
          <w:p w14:paraId="5776F246" w14:textId="42F1C0BD" w:rsidR="00877819" w:rsidRDefault="002A1831" w:rsidP="00742CA8">
            <w:pPr>
              <w:pStyle w:val="Heading1"/>
            </w:pPr>
            <w:bookmarkStart w:id="58" w:name="_Toc321148791"/>
            <w:bookmarkStart w:id="59" w:name="_Toc321646581"/>
            <w:bookmarkStart w:id="60" w:name="_Toc321646663"/>
            <w:r>
              <w:t>9</w:t>
            </w:r>
            <w:r w:rsidR="00877819" w:rsidRPr="00877819">
              <w:t>. Ethics</w:t>
            </w:r>
            <w:bookmarkEnd w:id="58"/>
            <w:bookmarkEnd w:id="59"/>
            <w:bookmarkEnd w:id="60"/>
            <w:r w:rsidR="00877819">
              <w:tab/>
            </w:r>
          </w:p>
        </w:tc>
      </w:tr>
    </w:tbl>
    <w:p w14:paraId="05B3B1B6" w14:textId="6268156D" w:rsidR="00877819" w:rsidRPr="00514F30" w:rsidRDefault="00D209AF" w:rsidP="00877819">
      <w:pPr>
        <w:pStyle w:val="Basictext"/>
      </w:pPr>
      <w:r>
        <w:rPr>
          <w:b/>
        </w:rPr>
        <w:br/>
      </w:r>
      <w:r w:rsidR="00877819">
        <w:rPr>
          <w:b/>
        </w:rPr>
        <w:br/>
      </w:r>
      <w:r w:rsidR="002A1831" w:rsidRPr="00204836">
        <w:rPr>
          <w:rStyle w:val="Heading2Char"/>
        </w:rPr>
        <w:t>9</w:t>
      </w:r>
      <w:r w:rsidR="00877819" w:rsidRPr="00204836">
        <w:rPr>
          <w:rStyle w:val="Heading2Char"/>
        </w:rPr>
        <w:t>.1 Declaration of Helsinki</w:t>
      </w:r>
      <w:r w:rsidR="00877819">
        <w:rPr>
          <w:b/>
          <w:sz w:val="26"/>
          <w:szCs w:val="26"/>
        </w:rPr>
        <w:br/>
      </w:r>
      <w:proofErr w:type="gramStart"/>
      <w:r w:rsidR="00877819" w:rsidRPr="00514F30">
        <w:t>The</w:t>
      </w:r>
      <w:proofErr w:type="gramEnd"/>
      <w:r w:rsidR="00877819" w:rsidRPr="00514F30">
        <w:t xml:space="preserve"> Principal Investigator will ensure this study is conducted in full conformity with the current revision of the Declaration of Helsinki (last amended October 2000, with additional footnotes added 2002 and 2004).</w:t>
      </w:r>
      <w:r w:rsidR="00742CA8">
        <w:br/>
      </w:r>
    </w:p>
    <w:p w14:paraId="6F17BB5E" w14:textId="0D1E7FFB" w:rsidR="00877819" w:rsidRPr="00204836" w:rsidRDefault="002A1831" w:rsidP="00204836">
      <w:pPr>
        <w:pStyle w:val="Heading2"/>
      </w:pPr>
      <w:bookmarkStart w:id="61" w:name="_Toc161299447"/>
      <w:bookmarkStart w:id="62" w:name="_Toc321148792"/>
      <w:bookmarkStart w:id="63" w:name="_Toc321646582"/>
      <w:r w:rsidRPr="00204836">
        <w:t>9.2</w:t>
      </w:r>
      <w:r w:rsidR="00877819" w:rsidRPr="00204836">
        <w:t xml:space="preserve"> ICH Guidelines for Good Clinical Practice</w:t>
      </w:r>
      <w:bookmarkEnd w:id="61"/>
      <w:bookmarkEnd w:id="62"/>
      <w:bookmarkEnd w:id="63"/>
      <w:r w:rsidR="00877819" w:rsidRPr="00204836">
        <w:t xml:space="preserve"> </w:t>
      </w:r>
    </w:p>
    <w:p w14:paraId="7C7BF3CC" w14:textId="69CF8989" w:rsidR="00877819" w:rsidRDefault="00877819" w:rsidP="00877819">
      <w:pPr>
        <w:pStyle w:val="Basictext"/>
      </w:pPr>
      <w:r w:rsidRPr="00514F30">
        <w:t>The PI will ensure that this study is conducted in full conformity with relevant regulations and with the ICH Guidelines for Good Clinical Practice (CPMP/ICH/135/95) July 1996.</w:t>
      </w:r>
      <w:r>
        <w:br/>
      </w:r>
    </w:p>
    <w:p w14:paraId="08711CA4" w14:textId="2023C860" w:rsidR="00877819" w:rsidRPr="00204836" w:rsidRDefault="002A1831" w:rsidP="00204836">
      <w:pPr>
        <w:pStyle w:val="Heading2"/>
      </w:pPr>
      <w:bookmarkStart w:id="64" w:name="_Toc161299448"/>
      <w:bookmarkStart w:id="65" w:name="_Toc321148793"/>
      <w:bookmarkStart w:id="66" w:name="_Toc321646583"/>
      <w:r w:rsidRPr="00204836">
        <w:t>9.3</w:t>
      </w:r>
      <w:r w:rsidR="00877819" w:rsidRPr="00204836">
        <w:t xml:space="preserve"> Approval</w:t>
      </w:r>
      <w:bookmarkEnd w:id="64"/>
      <w:bookmarkEnd w:id="65"/>
      <w:bookmarkEnd w:id="66"/>
    </w:p>
    <w:p w14:paraId="766464F7" w14:textId="77777777" w:rsidR="00877819" w:rsidRPr="00514F30" w:rsidRDefault="00877819" w:rsidP="00877819">
      <w:pPr>
        <w:rPr>
          <w:rFonts w:ascii="Calibri" w:hAnsi="Calibri"/>
        </w:rPr>
      </w:pPr>
      <w:r w:rsidRPr="00514F30">
        <w:rPr>
          <w:rFonts w:ascii="Calibri" w:hAnsi="Calibri"/>
        </w:rPr>
        <w:t>The</w:t>
      </w:r>
      <w:r>
        <w:rPr>
          <w:rFonts w:ascii="Calibri" w:hAnsi="Calibri"/>
        </w:rPr>
        <w:t xml:space="preserve"> protocol, consent form and </w:t>
      </w:r>
      <w:r w:rsidRPr="00514F30">
        <w:rPr>
          <w:rFonts w:ascii="Calibri" w:hAnsi="Calibri"/>
        </w:rPr>
        <w:t>pa</w:t>
      </w:r>
      <w:r>
        <w:rPr>
          <w:rFonts w:ascii="Calibri" w:hAnsi="Calibri"/>
        </w:rPr>
        <w:t>rticipant information sheet have</w:t>
      </w:r>
      <w:r w:rsidRPr="00514F30">
        <w:rPr>
          <w:rFonts w:ascii="Calibri" w:hAnsi="Calibri"/>
        </w:rPr>
        <w:t xml:space="preserve"> be</w:t>
      </w:r>
      <w:r>
        <w:rPr>
          <w:rFonts w:ascii="Calibri" w:hAnsi="Calibri"/>
        </w:rPr>
        <w:t>en</w:t>
      </w:r>
      <w:r w:rsidRPr="00514F30">
        <w:rPr>
          <w:rFonts w:ascii="Calibri" w:hAnsi="Calibri"/>
        </w:rPr>
        <w:t xml:space="preserve"> submitted to the </w:t>
      </w:r>
      <w:r>
        <w:rPr>
          <w:rFonts w:ascii="Calibri" w:hAnsi="Calibri"/>
        </w:rPr>
        <w:t>Health and Disability</w:t>
      </w:r>
      <w:r w:rsidRPr="00514F30">
        <w:rPr>
          <w:rFonts w:ascii="Calibri" w:hAnsi="Calibri"/>
        </w:rPr>
        <w:t xml:space="preserve"> Ethics Committee, Southern District Health Board Research Office and Ngai </w:t>
      </w:r>
      <w:proofErr w:type="spellStart"/>
      <w:r w:rsidRPr="00514F30">
        <w:rPr>
          <w:rFonts w:ascii="Calibri" w:hAnsi="Calibri"/>
        </w:rPr>
        <w:t>Tahu</w:t>
      </w:r>
      <w:proofErr w:type="spellEnd"/>
      <w:r w:rsidRPr="00514F30">
        <w:rPr>
          <w:rFonts w:ascii="Calibri" w:hAnsi="Calibri"/>
        </w:rPr>
        <w:t xml:space="preserve"> Research </w:t>
      </w:r>
      <w:proofErr w:type="spellStart"/>
      <w:r w:rsidRPr="00514F30">
        <w:rPr>
          <w:rFonts w:ascii="Calibri" w:hAnsi="Calibri"/>
        </w:rPr>
        <w:t>Consulation</w:t>
      </w:r>
      <w:proofErr w:type="spellEnd"/>
      <w:r w:rsidRPr="00514F30">
        <w:rPr>
          <w:rFonts w:ascii="Calibri" w:hAnsi="Calibri"/>
        </w:rPr>
        <w:t xml:space="preserve"> Committee.</w:t>
      </w:r>
    </w:p>
    <w:p w14:paraId="72A8CE89" w14:textId="77777777" w:rsidR="00877819" w:rsidRPr="00514F30" w:rsidRDefault="00877819" w:rsidP="00877819">
      <w:pPr>
        <w:pStyle w:val="Basictext"/>
      </w:pPr>
    </w:p>
    <w:p w14:paraId="2A87DF50" w14:textId="7C33A631" w:rsidR="00877819" w:rsidRPr="00204836" w:rsidRDefault="002A1831" w:rsidP="00204836">
      <w:pPr>
        <w:pStyle w:val="Heading2"/>
      </w:pPr>
      <w:bookmarkStart w:id="67" w:name="_Toc161299449"/>
      <w:bookmarkStart w:id="68" w:name="_Toc321148794"/>
      <w:bookmarkStart w:id="69" w:name="_Toc321646584"/>
      <w:r w:rsidRPr="00204836">
        <w:lastRenderedPageBreak/>
        <w:t>9.4</w:t>
      </w:r>
      <w:r w:rsidR="00877819" w:rsidRPr="00204836">
        <w:t xml:space="preserve"> Participant Confidentiality</w:t>
      </w:r>
      <w:bookmarkEnd w:id="67"/>
      <w:bookmarkEnd w:id="68"/>
      <w:bookmarkEnd w:id="69"/>
    </w:p>
    <w:p w14:paraId="398EBE41" w14:textId="6229B620" w:rsidR="00877819" w:rsidRPr="00514F30" w:rsidRDefault="00877819" w:rsidP="00877819">
      <w:pPr>
        <w:pStyle w:val="Basictext"/>
      </w:pPr>
      <w:r>
        <w:t>Staff</w:t>
      </w:r>
      <w:r w:rsidRPr="00514F30">
        <w:t xml:space="preserve"> will ensure that the participants’ anonymity is maintained.  The participants will be identified only by a participant’s ID number.  All documents will be stored securely and only accessible by trial staff and authorised personnel. The study will comply with the Data Protection Act, which requires data to be anonymised as soon as it is practical to do so.  </w:t>
      </w:r>
    </w:p>
    <w:p w14:paraId="21F3514B" w14:textId="340D03B0" w:rsidR="00877819" w:rsidRPr="00877819" w:rsidRDefault="00877819" w:rsidP="00877819">
      <w:pPr>
        <w:rPr>
          <w:rFonts w:ascii="Calibri" w:hAnsi="Calibri"/>
          <w:b/>
        </w:rPr>
      </w:pPr>
      <w:r>
        <w:rPr>
          <w:rFonts w:ascii="Calibri" w:hAnsi="Calibri"/>
          <w:b/>
        </w:rPr>
        <w:br/>
      </w:r>
      <w:r>
        <w:rPr>
          <w:rFonts w:ascii="Calibri" w:hAnsi="Calibri"/>
          <w: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706DF9" w14:paraId="0BD088F5" w14:textId="77777777" w:rsidTr="00706DF9">
        <w:tc>
          <w:tcPr>
            <w:tcW w:w="8516" w:type="dxa"/>
            <w:shd w:val="clear" w:color="auto" w:fill="C6D9F1" w:themeFill="text2" w:themeFillTint="33"/>
          </w:tcPr>
          <w:p w14:paraId="5A22DB05" w14:textId="77777777" w:rsidR="00706DF9" w:rsidRPr="00706DF9" w:rsidRDefault="00706DF9" w:rsidP="000C33EB">
            <w:pPr>
              <w:spacing w:before="40" w:after="40"/>
              <w:rPr>
                <w:rFonts w:ascii="Calibri" w:hAnsi="Calibri"/>
                <w:b/>
              </w:rPr>
            </w:pPr>
          </w:p>
          <w:p w14:paraId="4A787FED" w14:textId="5E3B7E02" w:rsidR="00706DF9" w:rsidRDefault="002A1831" w:rsidP="00742CA8">
            <w:pPr>
              <w:pStyle w:val="Heading1"/>
              <w:rPr>
                <w:rFonts w:eastAsia="Times New Roman" w:cs="Arial"/>
                <w:lang w:val="en-GB"/>
              </w:rPr>
            </w:pPr>
            <w:bookmarkStart w:id="70" w:name="_Toc321148795"/>
            <w:bookmarkStart w:id="71" w:name="_Toc321646585"/>
            <w:bookmarkStart w:id="72" w:name="_Toc321646664"/>
            <w:r>
              <w:t>10</w:t>
            </w:r>
            <w:r w:rsidR="00706DF9" w:rsidRPr="00706DF9">
              <w:t>. Financing and Insurance</w:t>
            </w:r>
            <w:bookmarkEnd w:id="70"/>
            <w:bookmarkEnd w:id="71"/>
            <w:bookmarkEnd w:id="72"/>
          </w:p>
        </w:tc>
      </w:tr>
    </w:tbl>
    <w:p w14:paraId="6CC2AAF2" w14:textId="2EDC72E4" w:rsidR="00877819" w:rsidRDefault="00877819" w:rsidP="00877819">
      <w:pPr>
        <w:spacing w:before="40" w:after="40"/>
        <w:rPr>
          <w:rFonts w:ascii="Calibri" w:eastAsia="Times New Roman" w:hAnsi="Calibri" w:cs="Arial"/>
          <w:lang w:val="en-GB"/>
        </w:rPr>
      </w:pPr>
      <w:r>
        <w:rPr>
          <w:rFonts w:ascii="Calibri" w:hAnsi="Calibri"/>
          <w:b/>
          <w:sz w:val="32"/>
        </w:rPr>
        <w:br/>
      </w:r>
      <w:r>
        <w:rPr>
          <w:rFonts w:ascii="Calibri" w:eastAsia="Times New Roman" w:hAnsi="Calibri" w:cs="Arial"/>
          <w:lang w:val="en-GB"/>
        </w:rPr>
        <w:br/>
      </w:r>
      <w:r w:rsidRPr="00877819">
        <w:rPr>
          <w:rFonts w:ascii="Calibri" w:eastAsia="Times New Roman" w:hAnsi="Calibri" w:cs="Arial"/>
          <w:lang w:val="en-GB"/>
        </w:rPr>
        <w:t xml:space="preserve">Internal funding through Otago Vascular Diagnostics will cover the salaries of </w:t>
      </w:r>
      <w:r w:rsidR="000D6A1A">
        <w:rPr>
          <w:rFonts w:ascii="Calibri" w:eastAsia="Times New Roman" w:hAnsi="Calibri" w:cs="Arial"/>
          <w:lang w:val="en-GB"/>
        </w:rPr>
        <w:t>research assistants</w:t>
      </w:r>
      <w:r w:rsidRPr="00877819">
        <w:rPr>
          <w:rFonts w:ascii="Calibri" w:eastAsia="Times New Roman" w:hAnsi="Calibri" w:cs="Arial"/>
          <w:lang w:val="en-GB"/>
        </w:rPr>
        <w:t xml:space="preserve"> who will carry out the scans as well as other costs of the research.</w:t>
      </w:r>
    </w:p>
    <w:p w14:paraId="32C22793" w14:textId="0324F569" w:rsidR="00877819" w:rsidRDefault="00877819" w:rsidP="00877819">
      <w:pPr>
        <w:spacing w:before="40" w:after="40"/>
        <w:rPr>
          <w:rFonts w:ascii="Calibri" w:hAnsi="Calibri"/>
        </w:rPr>
      </w:pPr>
      <w:r>
        <w:rPr>
          <w:rFonts w:ascii="Calibri" w:hAnsi="Calibri"/>
          <w:b/>
          <w:sz w:val="32"/>
        </w:rPr>
        <w:br/>
      </w:r>
      <w:r w:rsidRPr="00514F30">
        <w:rPr>
          <w:rFonts w:ascii="Calibri" w:hAnsi="Calibri"/>
        </w:rPr>
        <w:t xml:space="preserve">In the unlikely event of physical injury arising from participation in this study, patients will be covered by the accident compensation (ACC) legislation with its limitations. </w:t>
      </w:r>
    </w:p>
    <w:p w14:paraId="05280332" w14:textId="77777777" w:rsidR="00706DF9" w:rsidRPr="00877819" w:rsidRDefault="00706DF9" w:rsidP="00877819">
      <w:pPr>
        <w:spacing w:before="40" w:after="40"/>
        <w:rPr>
          <w:rFonts w:ascii="Arial" w:eastAsia="Times New Roman" w:hAnsi="Arial" w:cs="Arial"/>
        </w:rPr>
      </w:pPr>
    </w:p>
    <w:p w14:paraId="0C67F892" w14:textId="08F4CF52" w:rsidR="00877819" w:rsidRDefault="00877819" w:rsidP="00877819">
      <w:pPr>
        <w:rPr>
          <w:rFonts w:ascii="Calibri" w:hAnsi="Calibri"/>
          <w:b/>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706DF9" w14:paraId="5B3A67BA" w14:textId="77777777" w:rsidTr="00706DF9">
        <w:tc>
          <w:tcPr>
            <w:tcW w:w="8516" w:type="dxa"/>
            <w:shd w:val="clear" w:color="auto" w:fill="C6D9F1" w:themeFill="text2" w:themeFillTint="33"/>
          </w:tcPr>
          <w:p w14:paraId="6AAA40E1" w14:textId="77777777" w:rsidR="00706DF9" w:rsidRPr="00706DF9" w:rsidRDefault="00706DF9" w:rsidP="000C33EB">
            <w:pPr>
              <w:rPr>
                <w:rFonts w:ascii="Calibri" w:hAnsi="Calibri"/>
                <w:b/>
              </w:rPr>
            </w:pPr>
          </w:p>
          <w:p w14:paraId="716217DD" w14:textId="4F5FF04B" w:rsidR="00706DF9" w:rsidRDefault="002A1831" w:rsidP="00742CA8">
            <w:pPr>
              <w:pStyle w:val="Heading1"/>
            </w:pPr>
            <w:bookmarkStart w:id="73" w:name="_Toc321148796"/>
            <w:bookmarkStart w:id="74" w:name="_Toc321646586"/>
            <w:bookmarkStart w:id="75" w:name="_Toc321646665"/>
            <w:r>
              <w:t>11</w:t>
            </w:r>
            <w:r w:rsidR="00706DF9" w:rsidRPr="00706DF9">
              <w:t>. Results Dissemination</w:t>
            </w:r>
            <w:bookmarkEnd w:id="73"/>
            <w:bookmarkEnd w:id="74"/>
            <w:bookmarkEnd w:id="75"/>
          </w:p>
        </w:tc>
      </w:tr>
    </w:tbl>
    <w:p w14:paraId="5B347467" w14:textId="6A4EF035" w:rsidR="00706DF9" w:rsidRDefault="00877819" w:rsidP="00877819">
      <w:pPr>
        <w:rPr>
          <w:rFonts w:ascii="Calibri" w:hAnsi="Calibri"/>
        </w:rPr>
      </w:pPr>
      <w:r>
        <w:rPr>
          <w:rFonts w:ascii="Calibri" w:hAnsi="Calibri"/>
          <w:b/>
          <w:sz w:val="32"/>
        </w:rPr>
        <w:br/>
      </w:r>
    </w:p>
    <w:p w14:paraId="4E16DCD9" w14:textId="09431503" w:rsidR="00877819" w:rsidRPr="00514F30" w:rsidRDefault="00877819" w:rsidP="00877819">
      <w:pPr>
        <w:rPr>
          <w:rFonts w:ascii="Calibri" w:hAnsi="Calibri"/>
        </w:rPr>
      </w:pPr>
      <w:r w:rsidRPr="00514F30">
        <w:rPr>
          <w:rFonts w:ascii="Calibri" w:hAnsi="Calibri"/>
        </w:rPr>
        <w:t xml:space="preserve">The results will be submitted to either local or international peer reviewed scientific journals for publication. The project will also be presented at local, national and </w:t>
      </w:r>
      <w:r w:rsidR="000D6A1A">
        <w:rPr>
          <w:rFonts w:ascii="Calibri" w:hAnsi="Calibri"/>
        </w:rPr>
        <w:t>international</w:t>
      </w:r>
      <w:r>
        <w:rPr>
          <w:rFonts w:ascii="Calibri" w:hAnsi="Calibri"/>
        </w:rPr>
        <w:t xml:space="preserve"> scientific meetings. </w:t>
      </w:r>
    </w:p>
    <w:p w14:paraId="65EE03F8" w14:textId="761D541C" w:rsidR="00877819" w:rsidRDefault="00877819" w:rsidP="00877819">
      <w:pPr>
        <w:rPr>
          <w:rFonts w:ascii="Calibri" w:hAnsi="Calibri"/>
          <w:b/>
          <w:sz w:val="32"/>
        </w:rPr>
      </w:pPr>
    </w:p>
    <w:p w14:paraId="534F6239" w14:textId="77777777" w:rsidR="00706DF9" w:rsidRDefault="00706DF9" w:rsidP="00877819">
      <w:pPr>
        <w:rPr>
          <w:rFonts w:ascii="Calibri" w:hAnsi="Calibri"/>
          <w:b/>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8516"/>
      </w:tblGrid>
      <w:tr w:rsidR="00706DF9" w:rsidRPr="00706DF9" w14:paraId="13A35F26" w14:textId="77777777" w:rsidTr="00706DF9">
        <w:tc>
          <w:tcPr>
            <w:tcW w:w="8516" w:type="dxa"/>
            <w:shd w:val="clear" w:color="auto" w:fill="C6D9F1" w:themeFill="text2" w:themeFillTint="33"/>
          </w:tcPr>
          <w:p w14:paraId="1EE9C3C1" w14:textId="77777777" w:rsidR="002A1831" w:rsidRPr="002A1831" w:rsidRDefault="002A1831" w:rsidP="000C33EB">
            <w:pPr>
              <w:rPr>
                <w:rFonts w:ascii="Calibri" w:hAnsi="Calibri"/>
                <w:b/>
              </w:rPr>
            </w:pPr>
          </w:p>
          <w:p w14:paraId="03489C5D" w14:textId="3CC96826" w:rsidR="00706DF9" w:rsidRPr="00706DF9" w:rsidRDefault="002A1831" w:rsidP="00742CA8">
            <w:pPr>
              <w:pStyle w:val="Heading1"/>
            </w:pPr>
            <w:bookmarkStart w:id="76" w:name="_Toc321148797"/>
            <w:bookmarkStart w:id="77" w:name="_Toc321646587"/>
            <w:bookmarkStart w:id="78" w:name="_Toc321646666"/>
            <w:r>
              <w:t>12</w:t>
            </w:r>
            <w:r w:rsidR="00706DF9" w:rsidRPr="00706DF9">
              <w:t>. References</w:t>
            </w:r>
            <w:bookmarkEnd w:id="76"/>
            <w:bookmarkEnd w:id="77"/>
            <w:bookmarkEnd w:id="78"/>
          </w:p>
        </w:tc>
      </w:tr>
    </w:tbl>
    <w:p w14:paraId="1BCAD961" w14:textId="7D85F398" w:rsidR="001F7B23" w:rsidRDefault="00877819" w:rsidP="001F7B23">
      <w:pPr>
        <w:rPr>
          <w:rFonts w:ascii="Calibri" w:hAnsi="Calibri"/>
        </w:rPr>
      </w:pPr>
      <w:r>
        <w:rPr>
          <w:rFonts w:ascii="Calibri" w:hAnsi="Calibri"/>
          <w:b/>
          <w:sz w:val="32"/>
        </w:rPr>
        <w:tab/>
      </w:r>
      <w:r w:rsidR="000359AB" w:rsidRPr="001F7B23">
        <w:rPr>
          <w:rFonts w:ascii="Calibri" w:hAnsi="Calibri"/>
        </w:rPr>
        <w:br/>
      </w:r>
      <w:r w:rsidR="00921BC2" w:rsidRPr="001F7B23">
        <w:rPr>
          <w:rFonts w:ascii="Calibri" w:hAnsi="Calibri"/>
        </w:rPr>
        <w:br/>
      </w:r>
      <w:proofErr w:type="gramStart"/>
      <w:r w:rsidR="001F7B23" w:rsidRPr="001F7B23">
        <w:rPr>
          <w:rFonts w:ascii="Calibri" w:eastAsia="Times New Roman" w:hAnsi="Calibri" w:cs="Times New Roman"/>
          <w:lang w:val="en-NZ"/>
        </w:rPr>
        <w:t xml:space="preserve">Vincent JR, Jones GT, Hill GB, van </w:t>
      </w:r>
      <w:proofErr w:type="spellStart"/>
      <w:r w:rsidR="001F7B23" w:rsidRPr="001F7B23">
        <w:rPr>
          <w:rFonts w:ascii="Calibri" w:eastAsia="Times New Roman" w:hAnsi="Calibri" w:cs="Times New Roman"/>
          <w:lang w:val="en-NZ"/>
        </w:rPr>
        <w:t>Rij</w:t>
      </w:r>
      <w:proofErr w:type="spellEnd"/>
      <w:r w:rsidR="001F7B23" w:rsidRPr="001F7B23">
        <w:rPr>
          <w:rFonts w:ascii="Calibri" w:eastAsia="Times New Roman" w:hAnsi="Calibri" w:cs="Times New Roman"/>
          <w:lang w:val="en-NZ"/>
        </w:rPr>
        <w:t xml:space="preserve"> AM.</w:t>
      </w:r>
      <w:proofErr w:type="gramEnd"/>
      <w:r w:rsidR="001F7B23" w:rsidRPr="001F7B23">
        <w:rPr>
          <w:rFonts w:ascii="Calibri" w:eastAsia="Times New Roman" w:hAnsi="Calibri" w:cs="Times New Roman"/>
          <w:lang w:val="en-NZ"/>
        </w:rPr>
        <w:t xml:space="preserve"> Failure of </w:t>
      </w:r>
      <w:proofErr w:type="spellStart"/>
      <w:r w:rsidR="001F7B23" w:rsidRPr="001F7B23">
        <w:rPr>
          <w:rFonts w:ascii="Calibri" w:eastAsia="Times New Roman" w:hAnsi="Calibri" w:cs="Times New Roman"/>
          <w:lang w:val="en-NZ"/>
        </w:rPr>
        <w:t>microvenous</w:t>
      </w:r>
      <w:proofErr w:type="spellEnd"/>
      <w:r w:rsidR="001F7B23" w:rsidRPr="001F7B23">
        <w:rPr>
          <w:rFonts w:ascii="Calibri" w:eastAsia="Times New Roman" w:hAnsi="Calibri" w:cs="Times New Roman"/>
          <w:lang w:val="en-NZ"/>
        </w:rPr>
        <w:t xml:space="preserve"> valves in small superficial veins is a key to the skin changes of venous insufficiency. </w:t>
      </w:r>
      <w:proofErr w:type="gramStart"/>
      <w:r w:rsidR="001F7B23" w:rsidRPr="001F7B23">
        <w:rPr>
          <w:rFonts w:ascii="Calibri" w:eastAsia="Times New Roman" w:hAnsi="Calibri" w:cs="Times New Roman"/>
          <w:lang w:val="en-NZ"/>
        </w:rPr>
        <w:t>Journal of vascular surgery.</w:t>
      </w:r>
      <w:proofErr w:type="gramEnd"/>
      <w:r w:rsidR="001F7B23" w:rsidRPr="001F7B23">
        <w:rPr>
          <w:rFonts w:ascii="Calibri" w:eastAsia="Times New Roman" w:hAnsi="Calibri" w:cs="Times New Roman"/>
          <w:lang w:val="en-NZ"/>
        </w:rPr>
        <w:t xml:space="preserve"> 2011 Dec 31</w:t>
      </w:r>
      <w:proofErr w:type="gramStart"/>
      <w:r w:rsidR="001F7B23" w:rsidRPr="001F7B23">
        <w:rPr>
          <w:rFonts w:ascii="Calibri" w:eastAsia="Times New Roman" w:hAnsi="Calibri" w:cs="Times New Roman"/>
          <w:lang w:val="en-NZ"/>
        </w:rPr>
        <w:t>;54</w:t>
      </w:r>
      <w:proofErr w:type="gramEnd"/>
      <w:r w:rsidR="001F7B23" w:rsidRPr="001F7B23">
        <w:rPr>
          <w:rFonts w:ascii="Calibri" w:eastAsia="Times New Roman" w:hAnsi="Calibri" w:cs="Times New Roman"/>
          <w:lang w:val="en-NZ"/>
        </w:rPr>
        <w:t>(6):62S-9S.</w:t>
      </w:r>
      <w:r w:rsidR="00706DF9">
        <w:rPr>
          <w:rFonts w:ascii="Calibri" w:eastAsia="Times New Roman" w:hAnsi="Calibri" w:cs="Times New Roman"/>
          <w:lang w:val="en-NZ"/>
        </w:rPr>
        <w:br/>
      </w:r>
      <w:r w:rsidR="00706DF9">
        <w:rPr>
          <w:rFonts w:ascii="Calibri" w:eastAsia="Times New Roman" w:hAnsi="Calibri" w:cs="Times New Roman"/>
          <w:lang w:val="en-NZ"/>
        </w:rPr>
        <w:lastRenderedPageBreak/>
        <w:br/>
      </w:r>
    </w:p>
    <w:p w14:paraId="16DF074E" w14:textId="77777777" w:rsidR="00706DF9" w:rsidRPr="00706DF9" w:rsidRDefault="00706DF9" w:rsidP="001F7B23">
      <w:pPr>
        <w:rPr>
          <w:rFonts w:ascii="Calibri" w:hAnsi="Calibri"/>
        </w:rPr>
      </w:pPr>
    </w:p>
    <w:p w14:paraId="4862C916" w14:textId="09078714" w:rsidR="00921BC2" w:rsidRPr="00662683" w:rsidRDefault="00706DF9" w:rsidP="00706DF9">
      <w:pPr>
        <w:rPr>
          <w:rFonts w:ascii="Calibri" w:hAnsi="Calibri"/>
          <w:b/>
        </w:rPr>
      </w:pPr>
      <w:r>
        <w:rPr>
          <w:rFonts w:ascii="Calibri" w:hAnsi="Calibri"/>
        </w:rPr>
        <w:br/>
      </w:r>
    </w:p>
    <w:sectPr w:rsidR="00921BC2" w:rsidRPr="00662683" w:rsidSect="00232187">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8C44A" w14:textId="77777777" w:rsidR="006A6BAB" w:rsidRDefault="006A6BAB" w:rsidP="003B208B">
      <w:r>
        <w:separator/>
      </w:r>
    </w:p>
  </w:endnote>
  <w:endnote w:type="continuationSeparator" w:id="0">
    <w:p w14:paraId="39E46804" w14:textId="77777777" w:rsidR="006A6BAB" w:rsidRDefault="006A6BAB" w:rsidP="003B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A9FCC" w14:textId="77777777" w:rsidR="00702244" w:rsidRDefault="00702244" w:rsidP="003B2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1207D" w14:textId="77777777" w:rsidR="00702244" w:rsidRDefault="00702244" w:rsidP="003B20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12AAE" w14:textId="77777777" w:rsidR="00702244" w:rsidRDefault="00702244" w:rsidP="003B2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128A">
      <w:rPr>
        <w:rStyle w:val="PageNumber"/>
        <w:noProof/>
      </w:rPr>
      <w:t>1</w:t>
    </w:r>
    <w:r>
      <w:rPr>
        <w:rStyle w:val="PageNumber"/>
      </w:rPr>
      <w:fldChar w:fldCharType="end"/>
    </w:r>
  </w:p>
  <w:p w14:paraId="14537200" w14:textId="635178BA" w:rsidR="00702244" w:rsidRPr="003B208B" w:rsidRDefault="00D94C91" w:rsidP="003B208B">
    <w:pPr>
      <w:pStyle w:val="Footer"/>
      <w:ind w:right="360"/>
      <w:rPr>
        <w:rFonts w:ascii="Calibri" w:hAnsi="Calibri"/>
      </w:rPr>
    </w:pPr>
    <w:r>
      <w:rPr>
        <w:rFonts w:ascii="Calibri" w:hAnsi="Calibri"/>
      </w:rPr>
      <w:t>NIR imaging study protocol, 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3FEAB" w14:textId="77777777" w:rsidR="006A6BAB" w:rsidRDefault="006A6BAB" w:rsidP="003B208B">
      <w:r>
        <w:separator/>
      </w:r>
    </w:p>
  </w:footnote>
  <w:footnote w:type="continuationSeparator" w:id="0">
    <w:p w14:paraId="436E8201" w14:textId="77777777" w:rsidR="006A6BAB" w:rsidRDefault="006A6BAB" w:rsidP="003B2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31D45"/>
    <w:multiLevelType w:val="hybridMultilevel"/>
    <w:tmpl w:val="5590EC16"/>
    <w:lvl w:ilvl="0" w:tplc="7722DAE0">
      <w:start w:val="7"/>
      <w:numFmt w:val="bullet"/>
      <w:lvlText w:val="-"/>
      <w:lvlJc w:val="left"/>
      <w:pPr>
        <w:ind w:left="720" w:hanging="360"/>
      </w:pPr>
      <w:rPr>
        <w:rFonts w:ascii="Calibri" w:eastAsia="Cambria" w:hAnsi="Calibri" w:cs="Times New Roman"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48"/>
    <w:rsid w:val="0003089B"/>
    <w:rsid w:val="000359AB"/>
    <w:rsid w:val="00037ECD"/>
    <w:rsid w:val="000524FB"/>
    <w:rsid w:val="00073EBA"/>
    <w:rsid w:val="000C33EB"/>
    <w:rsid w:val="000D5495"/>
    <w:rsid w:val="000D6A1A"/>
    <w:rsid w:val="000E1867"/>
    <w:rsid w:val="000E2A32"/>
    <w:rsid w:val="0010070C"/>
    <w:rsid w:val="001549ED"/>
    <w:rsid w:val="001714FC"/>
    <w:rsid w:val="001A72FD"/>
    <w:rsid w:val="001C2E4D"/>
    <w:rsid w:val="001D783D"/>
    <w:rsid w:val="001F7B23"/>
    <w:rsid w:val="00204836"/>
    <w:rsid w:val="00223B12"/>
    <w:rsid w:val="00232187"/>
    <w:rsid w:val="00242070"/>
    <w:rsid w:val="0026307E"/>
    <w:rsid w:val="002747FA"/>
    <w:rsid w:val="00297C9D"/>
    <w:rsid w:val="002A1831"/>
    <w:rsid w:val="002A18A8"/>
    <w:rsid w:val="002B2404"/>
    <w:rsid w:val="002C33EC"/>
    <w:rsid w:val="002D31A1"/>
    <w:rsid w:val="002D728B"/>
    <w:rsid w:val="002E68D6"/>
    <w:rsid w:val="003028FF"/>
    <w:rsid w:val="00325113"/>
    <w:rsid w:val="003547EA"/>
    <w:rsid w:val="00356B6C"/>
    <w:rsid w:val="003777F6"/>
    <w:rsid w:val="00380420"/>
    <w:rsid w:val="0038711F"/>
    <w:rsid w:val="00394A5C"/>
    <w:rsid w:val="00396D44"/>
    <w:rsid w:val="003B208B"/>
    <w:rsid w:val="003C35EE"/>
    <w:rsid w:val="003E0654"/>
    <w:rsid w:val="003E113D"/>
    <w:rsid w:val="003F393F"/>
    <w:rsid w:val="00401836"/>
    <w:rsid w:val="00424D08"/>
    <w:rsid w:val="0047460F"/>
    <w:rsid w:val="004912DB"/>
    <w:rsid w:val="004E1414"/>
    <w:rsid w:val="00506984"/>
    <w:rsid w:val="0054046C"/>
    <w:rsid w:val="00560A64"/>
    <w:rsid w:val="00594D49"/>
    <w:rsid w:val="005E6901"/>
    <w:rsid w:val="005F7494"/>
    <w:rsid w:val="005F764E"/>
    <w:rsid w:val="00633CA3"/>
    <w:rsid w:val="00643C4E"/>
    <w:rsid w:val="00662683"/>
    <w:rsid w:val="00664BBD"/>
    <w:rsid w:val="006679B9"/>
    <w:rsid w:val="00676B56"/>
    <w:rsid w:val="006770E9"/>
    <w:rsid w:val="006A6BAB"/>
    <w:rsid w:val="006D75B2"/>
    <w:rsid w:val="00702244"/>
    <w:rsid w:val="007039FC"/>
    <w:rsid w:val="00706DF9"/>
    <w:rsid w:val="00712E0B"/>
    <w:rsid w:val="00742CA8"/>
    <w:rsid w:val="0078403A"/>
    <w:rsid w:val="00797195"/>
    <w:rsid w:val="007A789B"/>
    <w:rsid w:val="007C7ACF"/>
    <w:rsid w:val="007D1045"/>
    <w:rsid w:val="007E7726"/>
    <w:rsid w:val="00820810"/>
    <w:rsid w:val="00877819"/>
    <w:rsid w:val="0089130B"/>
    <w:rsid w:val="00906F7D"/>
    <w:rsid w:val="00921BC2"/>
    <w:rsid w:val="00926261"/>
    <w:rsid w:val="009534D5"/>
    <w:rsid w:val="00982CC2"/>
    <w:rsid w:val="00992700"/>
    <w:rsid w:val="009947A9"/>
    <w:rsid w:val="009A58AE"/>
    <w:rsid w:val="009B6B3B"/>
    <w:rsid w:val="009C50A2"/>
    <w:rsid w:val="00A0307E"/>
    <w:rsid w:val="00A13A23"/>
    <w:rsid w:val="00A264AF"/>
    <w:rsid w:val="00A34E06"/>
    <w:rsid w:val="00A85596"/>
    <w:rsid w:val="00A86F71"/>
    <w:rsid w:val="00A90FA6"/>
    <w:rsid w:val="00AC0ECA"/>
    <w:rsid w:val="00AD2102"/>
    <w:rsid w:val="00AD4CFF"/>
    <w:rsid w:val="00B12681"/>
    <w:rsid w:val="00B270C5"/>
    <w:rsid w:val="00B3128A"/>
    <w:rsid w:val="00B70605"/>
    <w:rsid w:val="00BA4668"/>
    <w:rsid w:val="00BA52B7"/>
    <w:rsid w:val="00BC2248"/>
    <w:rsid w:val="00C14483"/>
    <w:rsid w:val="00C30B03"/>
    <w:rsid w:val="00C33878"/>
    <w:rsid w:val="00C414DA"/>
    <w:rsid w:val="00C60FD5"/>
    <w:rsid w:val="00C856EB"/>
    <w:rsid w:val="00CB0FB4"/>
    <w:rsid w:val="00CD14C0"/>
    <w:rsid w:val="00D025B9"/>
    <w:rsid w:val="00D209AF"/>
    <w:rsid w:val="00D363A7"/>
    <w:rsid w:val="00D43A6B"/>
    <w:rsid w:val="00D67DB8"/>
    <w:rsid w:val="00D73F08"/>
    <w:rsid w:val="00D94C91"/>
    <w:rsid w:val="00DB2B18"/>
    <w:rsid w:val="00DC230E"/>
    <w:rsid w:val="00E65C19"/>
    <w:rsid w:val="00E674A8"/>
    <w:rsid w:val="00E773E9"/>
    <w:rsid w:val="00E8315C"/>
    <w:rsid w:val="00E94399"/>
    <w:rsid w:val="00EA73A7"/>
    <w:rsid w:val="00EC6258"/>
    <w:rsid w:val="00F0162D"/>
    <w:rsid w:val="00F27692"/>
    <w:rsid w:val="00F36384"/>
    <w:rsid w:val="00F62D79"/>
    <w:rsid w:val="00FD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C532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2CA8"/>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qFormat/>
    <w:rsid w:val="00D209AF"/>
    <w:pPr>
      <w:keepNext/>
      <w:spacing w:before="240" w:after="60"/>
      <w:outlineLvl w:val="1"/>
    </w:pPr>
    <w:rPr>
      <w:rFonts w:ascii="Calibri" w:eastAsia="Times New Roman" w:hAnsi="Calibri" w:cs="Times New Roman"/>
      <w:b/>
      <w:bCs/>
      <w:i/>
      <w:iCs/>
      <w:sz w:val="28"/>
      <w:szCs w:val="28"/>
    </w:rPr>
  </w:style>
  <w:style w:type="paragraph" w:styleId="Heading3">
    <w:name w:val="heading 3"/>
    <w:basedOn w:val="Normal"/>
    <w:next w:val="Normal"/>
    <w:link w:val="Heading3Char"/>
    <w:uiPriority w:val="9"/>
    <w:qFormat/>
    <w:rsid w:val="00877819"/>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15C"/>
    <w:rPr>
      <w:rFonts w:ascii="Lucida Grande" w:hAnsi="Lucida Grande"/>
      <w:sz w:val="18"/>
      <w:szCs w:val="18"/>
    </w:rPr>
  </w:style>
  <w:style w:type="character" w:customStyle="1" w:styleId="BalloonTextChar">
    <w:name w:val="Balloon Text Char"/>
    <w:basedOn w:val="DefaultParagraphFont"/>
    <w:link w:val="BalloonText"/>
    <w:uiPriority w:val="99"/>
    <w:semiHidden/>
    <w:rsid w:val="00E8315C"/>
    <w:rPr>
      <w:rFonts w:ascii="Lucida Grande" w:hAnsi="Lucida Grande"/>
      <w:sz w:val="18"/>
      <w:szCs w:val="18"/>
    </w:rPr>
  </w:style>
  <w:style w:type="table" w:styleId="TableGrid">
    <w:name w:val="Table Grid"/>
    <w:basedOn w:val="TableNormal"/>
    <w:uiPriority w:val="59"/>
    <w:rsid w:val="00A8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ECD"/>
    <w:pPr>
      <w:ind w:left="720"/>
      <w:contextualSpacing/>
    </w:pPr>
  </w:style>
  <w:style w:type="paragraph" w:styleId="Header">
    <w:name w:val="header"/>
    <w:basedOn w:val="Normal"/>
    <w:link w:val="HeaderChar"/>
    <w:uiPriority w:val="99"/>
    <w:unhideWhenUsed/>
    <w:rsid w:val="003B208B"/>
    <w:pPr>
      <w:tabs>
        <w:tab w:val="center" w:pos="4320"/>
        <w:tab w:val="right" w:pos="8640"/>
      </w:tabs>
    </w:pPr>
  </w:style>
  <w:style w:type="character" w:customStyle="1" w:styleId="HeaderChar">
    <w:name w:val="Header Char"/>
    <w:basedOn w:val="DefaultParagraphFont"/>
    <w:link w:val="Header"/>
    <w:uiPriority w:val="99"/>
    <w:rsid w:val="003B208B"/>
  </w:style>
  <w:style w:type="paragraph" w:styleId="Footer">
    <w:name w:val="footer"/>
    <w:basedOn w:val="Normal"/>
    <w:link w:val="FooterChar"/>
    <w:uiPriority w:val="99"/>
    <w:unhideWhenUsed/>
    <w:rsid w:val="003B208B"/>
    <w:pPr>
      <w:tabs>
        <w:tab w:val="center" w:pos="4320"/>
        <w:tab w:val="right" w:pos="8640"/>
      </w:tabs>
    </w:pPr>
  </w:style>
  <w:style w:type="character" w:customStyle="1" w:styleId="FooterChar">
    <w:name w:val="Footer Char"/>
    <w:basedOn w:val="DefaultParagraphFont"/>
    <w:link w:val="Footer"/>
    <w:uiPriority w:val="99"/>
    <w:rsid w:val="003B208B"/>
  </w:style>
  <w:style w:type="character" w:styleId="PageNumber">
    <w:name w:val="page number"/>
    <w:basedOn w:val="DefaultParagraphFont"/>
    <w:uiPriority w:val="99"/>
    <w:semiHidden/>
    <w:unhideWhenUsed/>
    <w:rsid w:val="003B208B"/>
  </w:style>
  <w:style w:type="paragraph" w:styleId="NoSpacing">
    <w:name w:val="No Spacing"/>
    <w:basedOn w:val="Normal"/>
    <w:uiPriority w:val="1"/>
    <w:qFormat/>
    <w:rsid w:val="009A58AE"/>
    <w:rPr>
      <w:sz w:val="22"/>
      <w:szCs w:val="22"/>
      <w:lang w:val="en-NZ"/>
    </w:rPr>
  </w:style>
  <w:style w:type="character" w:customStyle="1" w:styleId="Heading2Char">
    <w:name w:val="Heading 2 Char"/>
    <w:basedOn w:val="DefaultParagraphFont"/>
    <w:link w:val="Heading2"/>
    <w:uiPriority w:val="9"/>
    <w:rsid w:val="00D209AF"/>
    <w:rPr>
      <w:rFonts w:ascii="Calibri" w:eastAsia="Times New Roman" w:hAnsi="Calibri" w:cs="Times New Roman"/>
      <w:b/>
      <w:bCs/>
      <w:i/>
      <w:iCs/>
      <w:sz w:val="28"/>
      <w:szCs w:val="28"/>
    </w:rPr>
  </w:style>
  <w:style w:type="paragraph" w:styleId="CommentText">
    <w:name w:val="annotation text"/>
    <w:basedOn w:val="Normal"/>
    <w:link w:val="CommentTextChar"/>
    <w:uiPriority w:val="99"/>
    <w:unhideWhenUsed/>
    <w:rsid w:val="00D209AF"/>
    <w:rPr>
      <w:rFonts w:ascii="Cambria" w:eastAsia="Cambria" w:hAnsi="Cambria" w:cs="Times New Roman"/>
    </w:rPr>
  </w:style>
  <w:style w:type="character" w:customStyle="1" w:styleId="CommentTextChar">
    <w:name w:val="Comment Text Char"/>
    <w:basedOn w:val="DefaultParagraphFont"/>
    <w:link w:val="CommentText"/>
    <w:uiPriority w:val="99"/>
    <w:rsid w:val="00D209AF"/>
    <w:rPr>
      <w:rFonts w:ascii="Cambria" w:eastAsia="Cambria" w:hAnsi="Cambria" w:cs="Times New Roman"/>
    </w:rPr>
  </w:style>
  <w:style w:type="paragraph" w:customStyle="1" w:styleId="Basictext">
    <w:name w:val="Basic text"/>
    <w:basedOn w:val="Normal"/>
    <w:autoRedefine/>
    <w:rsid w:val="00877819"/>
    <w:pPr>
      <w:widowControl w:val="0"/>
      <w:tabs>
        <w:tab w:val="left" w:pos="905"/>
        <w:tab w:val="left" w:pos="9180"/>
      </w:tabs>
      <w:ind w:right="-108"/>
    </w:pPr>
    <w:rPr>
      <w:rFonts w:ascii="Calibri" w:eastAsia="Times New Roman" w:hAnsi="Calibri" w:cs="Arial"/>
      <w:lang w:val="en-GB"/>
    </w:rPr>
  </w:style>
  <w:style w:type="character" w:customStyle="1" w:styleId="Heading3Char">
    <w:name w:val="Heading 3 Char"/>
    <w:basedOn w:val="DefaultParagraphFont"/>
    <w:link w:val="Heading3"/>
    <w:uiPriority w:val="9"/>
    <w:rsid w:val="00877819"/>
    <w:rPr>
      <w:rFonts w:ascii="Calibri" w:eastAsia="Times New Roman" w:hAnsi="Calibri" w:cs="Times New Roman"/>
      <w:b/>
      <w:bCs/>
      <w:sz w:val="26"/>
      <w:szCs w:val="26"/>
    </w:rPr>
  </w:style>
  <w:style w:type="character" w:customStyle="1" w:styleId="Heading1Char">
    <w:name w:val="Heading 1 Char"/>
    <w:basedOn w:val="DefaultParagraphFont"/>
    <w:link w:val="Heading1"/>
    <w:uiPriority w:val="9"/>
    <w:rsid w:val="00742CA8"/>
    <w:rPr>
      <w:rFonts w:asciiTheme="majorHAnsi" w:eastAsiaTheme="majorEastAsia" w:hAnsiTheme="majorHAnsi" w:cstheme="majorBidi"/>
      <w:b/>
      <w:bCs/>
      <w:sz w:val="32"/>
      <w:szCs w:val="32"/>
    </w:rPr>
  </w:style>
  <w:style w:type="character" w:styleId="CommentReference">
    <w:name w:val="annotation reference"/>
    <w:basedOn w:val="DefaultParagraphFont"/>
    <w:uiPriority w:val="99"/>
    <w:semiHidden/>
    <w:unhideWhenUsed/>
    <w:rsid w:val="00742CA8"/>
    <w:rPr>
      <w:sz w:val="18"/>
      <w:szCs w:val="18"/>
    </w:rPr>
  </w:style>
  <w:style w:type="paragraph" w:styleId="TOC1">
    <w:name w:val="toc 1"/>
    <w:basedOn w:val="Normal"/>
    <w:next w:val="Normal"/>
    <w:autoRedefine/>
    <w:uiPriority w:val="39"/>
    <w:unhideWhenUsed/>
    <w:rsid w:val="009C50A2"/>
    <w:pPr>
      <w:spacing w:before="120"/>
    </w:pPr>
    <w:rPr>
      <w:b/>
    </w:rPr>
  </w:style>
  <w:style w:type="paragraph" w:styleId="TOC2">
    <w:name w:val="toc 2"/>
    <w:basedOn w:val="Normal"/>
    <w:next w:val="Normal"/>
    <w:autoRedefine/>
    <w:uiPriority w:val="39"/>
    <w:unhideWhenUsed/>
    <w:rsid w:val="009C50A2"/>
    <w:pPr>
      <w:ind w:left="240"/>
    </w:pPr>
    <w:rPr>
      <w:b/>
      <w:sz w:val="22"/>
      <w:szCs w:val="22"/>
    </w:rPr>
  </w:style>
  <w:style w:type="paragraph" w:styleId="TOC3">
    <w:name w:val="toc 3"/>
    <w:basedOn w:val="Normal"/>
    <w:next w:val="Normal"/>
    <w:autoRedefine/>
    <w:uiPriority w:val="39"/>
    <w:unhideWhenUsed/>
    <w:rsid w:val="009C50A2"/>
    <w:pPr>
      <w:ind w:left="480"/>
    </w:pPr>
    <w:rPr>
      <w:sz w:val="22"/>
      <w:szCs w:val="22"/>
    </w:rPr>
  </w:style>
  <w:style w:type="paragraph" w:styleId="TOC4">
    <w:name w:val="toc 4"/>
    <w:basedOn w:val="Normal"/>
    <w:next w:val="Normal"/>
    <w:autoRedefine/>
    <w:uiPriority w:val="39"/>
    <w:unhideWhenUsed/>
    <w:rsid w:val="009C50A2"/>
    <w:pPr>
      <w:ind w:left="720"/>
    </w:pPr>
    <w:rPr>
      <w:sz w:val="20"/>
      <w:szCs w:val="20"/>
    </w:rPr>
  </w:style>
  <w:style w:type="paragraph" w:styleId="TOC5">
    <w:name w:val="toc 5"/>
    <w:basedOn w:val="Normal"/>
    <w:next w:val="Normal"/>
    <w:autoRedefine/>
    <w:uiPriority w:val="39"/>
    <w:unhideWhenUsed/>
    <w:rsid w:val="009C50A2"/>
    <w:pPr>
      <w:ind w:left="960"/>
    </w:pPr>
    <w:rPr>
      <w:sz w:val="20"/>
      <w:szCs w:val="20"/>
    </w:rPr>
  </w:style>
  <w:style w:type="paragraph" w:styleId="TOC6">
    <w:name w:val="toc 6"/>
    <w:basedOn w:val="Normal"/>
    <w:next w:val="Normal"/>
    <w:autoRedefine/>
    <w:uiPriority w:val="39"/>
    <w:unhideWhenUsed/>
    <w:rsid w:val="009C50A2"/>
    <w:pPr>
      <w:ind w:left="1200"/>
    </w:pPr>
    <w:rPr>
      <w:sz w:val="20"/>
      <w:szCs w:val="20"/>
    </w:rPr>
  </w:style>
  <w:style w:type="paragraph" w:styleId="TOC7">
    <w:name w:val="toc 7"/>
    <w:basedOn w:val="Normal"/>
    <w:next w:val="Normal"/>
    <w:autoRedefine/>
    <w:uiPriority w:val="39"/>
    <w:unhideWhenUsed/>
    <w:rsid w:val="009C50A2"/>
    <w:pPr>
      <w:ind w:left="1440"/>
    </w:pPr>
    <w:rPr>
      <w:sz w:val="20"/>
      <w:szCs w:val="20"/>
    </w:rPr>
  </w:style>
  <w:style w:type="paragraph" w:styleId="TOC8">
    <w:name w:val="toc 8"/>
    <w:basedOn w:val="Normal"/>
    <w:next w:val="Normal"/>
    <w:autoRedefine/>
    <w:uiPriority w:val="39"/>
    <w:unhideWhenUsed/>
    <w:rsid w:val="009C50A2"/>
    <w:pPr>
      <w:ind w:left="1680"/>
    </w:pPr>
    <w:rPr>
      <w:sz w:val="20"/>
      <w:szCs w:val="20"/>
    </w:rPr>
  </w:style>
  <w:style w:type="paragraph" w:styleId="TOC9">
    <w:name w:val="toc 9"/>
    <w:basedOn w:val="Normal"/>
    <w:next w:val="Normal"/>
    <w:autoRedefine/>
    <w:uiPriority w:val="39"/>
    <w:unhideWhenUsed/>
    <w:rsid w:val="009C50A2"/>
    <w:pPr>
      <w:ind w:left="1920"/>
    </w:pPr>
    <w:rPr>
      <w:sz w:val="20"/>
      <w:szCs w:val="20"/>
    </w:rPr>
  </w:style>
  <w:style w:type="paragraph" w:styleId="CommentSubject">
    <w:name w:val="annotation subject"/>
    <w:basedOn w:val="CommentText"/>
    <w:next w:val="CommentText"/>
    <w:link w:val="CommentSubjectChar"/>
    <w:uiPriority w:val="99"/>
    <w:semiHidden/>
    <w:unhideWhenUsed/>
    <w:rsid w:val="00325113"/>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325113"/>
    <w:rPr>
      <w:rFonts w:ascii="Cambria" w:eastAsia="Cambria"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2CA8"/>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qFormat/>
    <w:rsid w:val="00D209AF"/>
    <w:pPr>
      <w:keepNext/>
      <w:spacing w:before="240" w:after="60"/>
      <w:outlineLvl w:val="1"/>
    </w:pPr>
    <w:rPr>
      <w:rFonts w:ascii="Calibri" w:eastAsia="Times New Roman" w:hAnsi="Calibri" w:cs="Times New Roman"/>
      <w:b/>
      <w:bCs/>
      <w:i/>
      <w:iCs/>
      <w:sz w:val="28"/>
      <w:szCs w:val="28"/>
    </w:rPr>
  </w:style>
  <w:style w:type="paragraph" w:styleId="Heading3">
    <w:name w:val="heading 3"/>
    <w:basedOn w:val="Normal"/>
    <w:next w:val="Normal"/>
    <w:link w:val="Heading3Char"/>
    <w:uiPriority w:val="9"/>
    <w:qFormat/>
    <w:rsid w:val="00877819"/>
    <w:pPr>
      <w:keepNext/>
      <w:spacing w:before="240" w:after="60"/>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15C"/>
    <w:rPr>
      <w:rFonts w:ascii="Lucida Grande" w:hAnsi="Lucida Grande"/>
      <w:sz w:val="18"/>
      <w:szCs w:val="18"/>
    </w:rPr>
  </w:style>
  <w:style w:type="character" w:customStyle="1" w:styleId="BalloonTextChar">
    <w:name w:val="Balloon Text Char"/>
    <w:basedOn w:val="DefaultParagraphFont"/>
    <w:link w:val="BalloonText"/>
    <w:uiPriority w:val="99"/>
    <w:semiHidden/>
    <w:rsid w:val="00E8315C"/>
    <w:rPr>
      <w:rFonts w:ascii="Lucida Grande" w:hAnsi="Lucida Grande"/>
      <w:sz w:val="18"/>
      <w:szCs w:val="18"/>
    </w:rPr>
  </w:style>
  <w:style w:type="table" w:styleId="TableGrid">
    <w:name w:val="Table Grid"/>
    <w:basedOn w:val="TableNormal"/>
    <w:uiPriority w:val="59"/>
    <w:rsid w:val="00A8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ECD"/>
    <w:pPr>
      <w:ind w:left="720"/>
      <w:contextualSpacing/>
    </w:pPr>
  </w:style>
  <w:style w:type="paragraph" w:styleId="Header">
    <w:name w:val="header"/>
    <w:basedOn w:val="Normal"/>
    <w:link w:val="HeaderChar"/>
    <w:uiPriority w:val="99"/>
    <w:unhideWhenUsed/>
    <w:rsid w:val="003B208B"/>
    <w:pPr>
      <w:tabs>
        <w:tab w:val="center" w:pos="4320"/>
        <w:tab w:val="right" w:pos="8640"/>
      </w:tabs>
    </w:pPr>
  </w:style>
  <w:style w:type="character" w:customStyle="1" w:styleId="HeaderChar">
    <w:name w:val="Header Char"/>
    <w:basedOn w:val="DefaultParagraphFont"/>
    <w:link w:val="Header"/>
    <w:uiPriority w:val="99"/>
    <w:rsid w:val="003B208B"/>
  </w:style>
  <w:style w:type="paragraph" w:styleId="Footer">
    <w:name w:val="footer"/>
    <w:basedOn w:val="Normal"/>
    <w:link w:val="FooterChar"/>
    <w:uiPriority w:val="99"/>
    <w:unhideWhenUsed/>
    <w:rsid w:val="003B208B"/>
    <w:pPr>
      <w:tabs>
        <w:tab w:val="center" w:pos="4320"/>
        <w:tab w:val="right" w:pos="8640"/>
      </w:tabs>
    </w:pPr>
  </w:style>
  <w:style w:type="character" w:customStyle="1" w:styleId="FooterChar">
    <w:name w:val="Footer Char"/>
    <w:basedOn w:val="DefaultParagraphFont"/>
    <w:link w:val="Footer"/>
    <w:uiPriority w:val="99"/>
    <w:rsid w:val="003B208B"/>
  </w:style>
  <w:style w:type="character" w:styleId="PageNumber">
    <w:name w:val="page number"/>
    <w:basedOn w:val="DefaultParagraphFont"/>
    <w:uiPriority w:val="99"/>
    <w:semiHidden/>
    <w:unhideWhenUsed/>
    <w:rsid w:val="003B208B"/>
  </w:style>
  <w:style w:type="paragraph" w:styleId="NoSpacing">
    <w:name w:val="No Spacing"/>
    <w:basedOn w:val="Normal"/>
    <w:uiPriority w:val="1"/>
    <w:qFormat/>
    <w:rsid w:val="009A58AE"/>
    <w:rPr>
      <w:sz w:val="22"/>
      <w:szCs w:val="22"/>
      <w:lang w:val="en-NZ"/>
    </w:rPr>
  </w:style>
  <w:style w:type="character" w:customStyle="1" w:styleId="Heading2Char">
    <w:name w:val="Heading 2 Char"/>
    <w:basedOn w:val="DefaultParagraphFont"/>
    <w:link w:val="Heading2"/>
    <w:uiPriority w:val="9"/>
    <w:rsid w:val="00D209AF"/>
    <w:rPr>
      <w:rFonts w:ascii="Calibri" w:eastAsia="Times New Roman" w:hAnsi="Calibri" w:cs="Times New Roman"/>
      <w:b/>
      <w:bCs/>
      <w:i/>
      <w:iCs/>
      <w:sz w:val="28"/>
      <w:szCs w:val="28"/>
    </w:rPr>
  </w:style>
  <w:style w:type="paragraph" w:styleId="CommentText">
    <w:name w:val="annotation text"/>
    <w:basedOn w:val="Normal"/>
    <w:link w:val="CommentTextChar"/>
    <w:uiPriority w:val="99"/>
    <w:unhideWhenUsed/>
    <w:rsid w:val="00D209AF"/>
    <w:rPr>
      <w:rFonts w:ascii="Cambria" w:eastAsia="Cambria" w:hAnsi="Cambria" w:cs="Times New Roman"/>
    </w:rPr>
  </w:style>
  <w:style w:type="character" w:customStyle="1" w:styleId="CommentTextChar">
    <w:name w:val="Comment Text Char"/>
    <w:basedOn w:val="DefaultParagraphFont"/>
    <w:link w:val="CommentText"/>
    <w:uiPriority w:val="99"/>
    <w:rsid w:val="00D209AF"/>
    <w:rPr>
      <w:rFonts w:ascii="Cambria" w:eastAsia="Cambria" w:hAnsi="Cambria" w:cs="Times New Roman"/>
    </w:rPr>
  </w:style>
  <w:style w:type="paragraph" w:customStyle="1" w:styleId="Basictext">
    <w:name w:val="Basic text"/>
    <w:basedOn w:val="Normal"/>
    <w:autoRedefine/>
    <w:rsid w:val="00877819"/>
    <w:pPr>
      <w:widowControl w:val="0"/>
      <w:tabs>
        <w:tab w:val="left" w:pos="905"/>
        <w:tab w:val="left" w:pos="9180"/>
      </w:tabs>
      <w:ind w:right="-108"/>
    </w:pPr>
    <w:rPr>
      <w:rFonts w:ascii="Calibri" w:eastAsia="Times New Roman" w:hAnsi="Calibri" w:cs="Arial"/>
      <w:lang w:val="en-GB"/>
    </w:rPr>
  </w:style>
  <w:style w:type="character" w:customStyle="1" w:styleId="Heading3Char">
    <w:name w:val="Heading 3 Char"/>
    <w:basedOn w:val="DefaultParagraphFont"/>
    <w:link w:val="Heading3"/>
    <w:uiPriority w:val="9"/>
    <w:rsid w:val="00877819"/>
    <w:rPr>
      <w:rFonts w:ascii="Calibri" w:eastAsia="Times New Roman" w:hAnsi="Calibri" w:cs="Times New Roman"/>
      <w:b/>
      <w:bCs/>
      <w:sz w:val="26"/>
      <w:szCs w:val="26"/>
    </w:rPr>
  </w:style>
  <w:style w:type="character" w:customStyle="1" w:styleId="Heading1Char">
    <w:name w:val="Heading 1 Char"/>
    <w:basedOn w:val="DefaultParagraphFont"/>
    <w:link w:val="Heading1"/>
    <w:uiPriority w:val="9"/>
    <w:rsid w:val="00742CA8"/>
    <w:rPr>
      <w:rFonts w:asciiTheme="majorHAnsi" w:eastAsiaTheme="majorEastAsia" w:hAnsiTheme="majorHAnsi" w:cstheme="majorBidi"/>
      <w:b/>
      <w:bCs/>
      <w:sz w:val="32"/>
      <w:szCs w:val="32"/>
    </w:rPr>
  </w:style>
  <w:style w:type="character" w:styleId="CommentReference">
    <w:name w:val="annotation reference"/>
    <w:basedOn w:val="DefaultParagraphFont"/>
    <w:uiPriority w:val="99"/>
    <w:semiHidden/>
    <w:unhideWhenUsed/>
    <w:rsid w:val="00742CA8"/>
    <w:rPr>
      <w:sz w:val="18"/>
      <w:szCs w:val="18"/>
    </w:rPr>
  </w:style>
  <w:style w:type="paragraph" w:styleId="TOC1">
    <w:name w:val="toc 1"/>
    <w:basedOn w:val="Normal"/>
    <w:next w:val="Normal"/>
    <w:autoRedefine/>
    <w:uiPriority w:val="39"/>
    <w:unhideWhenUsed/>
    <w:rsid w:val="009C50A2"/>
    <w:pPr>
      <w:spacing w:before="120"/>
    </w:pPr>
    <w:rPr>
      <w:b/>
    </w:rPr>
  </w:style>
  <w:style w:type="paragraph" w:styleId="TOC2">
    <w:name w:val="toc 2"/>
    <w:basedOn w:val="Normal"/>
    <w:next w:val="Normal"/>
    <w:autoRedefine/>
    <w:uiPriority w:val="39"/>
    <w:unhideWhenUsed/>
    <w:rsid w:val="009C50A2"/>
    <w:pPr>
      <w:ind w:left="240"/>
    </w:pPr>
    <w:rPr>
      <w:b/>
      <w:sz w:val="22"/>
      <w:szCs w:val="22"/>
    </w:rPr>
  </w:style>
  <w:style w:type="paragraph" w:styleId="TOC3">
    <w:name w:val="toc 3"/>
    <w:basedOn w:val="Normal"/>
    <w:next w:val="Normal"/>
    <w:autoRedefine/>
    <w:uiPriority w:val="39"/>
    <w:unhideWhenUsed/>
    <w:rsid w:val="009C50A2"/>
    <w:pPr>
      <w:ind w:left="480"/>
    </w:pPr>
    <w:rPr>
      <w:sz w:val="22"/>
      <w:szCs w:val="22"/>
    </w:rPr>
  </w:style>
  <w:style w:type="paragraph" w:styleId="TOC4">
    <w:name w:val="toc 4"/>
    <w:basedOn w:val="Normal"/>
    <w:next w:val="Normal"/>
    <w:autoRedefine/>
    <w:uiPriority w:val="39"/>
    <w:unhideWhenUsed/>
    <w:rsid w:val="009C50A2"/>
    <w:pPr>
      <w:ind w:left="720"/>
    </w:pPr>
    <w:rPr>
      <w:sz w:val="20"/>
      <w:szCs w:val="20"/>
    </w:rPr>
  </w:style>
  <w:style w:type="paragraph" w:styleId="TOC5">
    <w:name w:val="toc 5"/>
    <w:basedOn w:val="Normal"/>
    <w:next w:val="Normal"/>
    <w:autoRedefine/>
    <w:uiPriority w:val="39"/>
    <w:unhideWhenUsed/>
    <w:rsid w:val="009C50A2"/>
    <w:pPr>
      <w:ind w:left="960"/>
    </w:pPr>
    <w:rPr>
      <w:sz w:val="20"/>
      <w:szCs w:val="20"/>
    </w:rPr>
  </w:style>
  <w:style w:type="paragraph" w:styleId="TOC6">
    <w:name w:val="toc 6"/>
    <w:basedOn w:val="Normal"/>
    <w:next w:val="Normal"/>
    <w:autoRedefine/>
    <w:uiPriority w:val="39"/>
    <w:unhideWhenUsed/>
    <w:rsid w:val="009C50A2"/>
    <w:pPr>
      <w:ind w:left="1200"/>
    </w:pPr>
    <w:rPr>
      <w:sz w:val="20"/>
      <w:szCs w:val="20"/>
    </w:rPr>
  </w:style>
  <w:style w:type="paragraph" w:styleId="TOC7">
    <w:name w:val="toc 7"/>
    <w:basedOn w:val="Normal"/>
    <w:next w:val="Normal"/>
    <w:autoRedefine/>
    <w:uiPriority w:val="39"/>
    <w:unhideWhenUsed/>
    <w:rsid w:val="009C50A2"/>
    <w:pPr>
      <w:ind w:left="1440"/>
    </w:pPr>
    <w:rPr>
      <w:sz w:val="20"/>
      <w:szCs w:val="20"/>
    </w:rPr>
  </w:style>
  <w:style w:type="paragraph" w:styleId="TOC8">
    <w:name w:val="toc 8"/>
    <w:basedOn w:val="Normal"/>
    <w:next w:val="Normal"/>
    <w:autoRedefine/>
    <w:uiPriority w:val="39"/>
    <w:unhideWhenUsed/>
    <w:rsid w:val="009C50A2"/>
    <w:pPr>
      <w:ind w:left="1680"/>
    </w:pPr>
    <w:rPr>
      <w:sz w:val="20"/>
      <w:szCs w:val="20"/>
    </w:rPr>
  </w:style>
  <w:style w:type="paragraph" w:styleId="TOC9">
    <w:name w:val="toc 9"/>
    <w:basedOn w:val="Normal"/>
    <w:next w:val="Normal"/>
    <w:autoRedefine/>
    <w:uiPriority w:val="39"/>
    <w:unhideWhenUsed/>
    <w:rsid w:val="009C50A2"/>
    <w:pPr>
      <w:ind w:left="1920"/>
    </w:pPr>
    <w:rPr>
      <w:sz w:val="20"/>
      <w:szCs w:val="20"/>
    </w:rPr>
  </w:style>
  <w:style w:type="paragraph" w:styleId="CommentSubject">
    <w:name w:val="annotation subject"/>
    <w:basedOn w:val="CommentText"/>
    <w:next w:val="CommentText"/>
    <w:link w:val="CommentSubjectChar"/>
    <w:uiPriority w:val="99"/>
    <w:semiHidden/>
    <w:unhideWhenUsed/>
    <w:rsid w:val="00325113"/>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325113"/>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367074">
      <w:bodyDiv w:val="1"/>
      <w:marLeft w:val="0"/>
      <w:marRight w:val="0"/>
      <w:marTop w:val="0"/>
      <w:marBottom w:val="0"/>
      <w:divBdr>
        <w:top w:val="none" w:sz="0" w:space="0" w:color="auto"/>
        <w:left w:val="none" w:sz="0" w:space="0" w:color="auto"/>
        <w:bottom w:val="none" w:sz="0" w:space="0" w:color="auto"/>
        <w:right w:val="none" w:sz="0" w:space="0" w:color="auto"/>
      </w:divBdr>
      <w:divsChild>
        <w:div w:id="482088261">
          <w:marLeft w:val="0"/>
          <w:marRight w:val="0"/>
          <w:marTop w:val="0"/>
          <w:marBottom w:val="0"/>
          <w:divBdr>
            <w:top w:val="none" w:sz="0" w:space="0" w:color="auto"/>
            <w:left w:val="none" w:sz="0" w:space="0" w:color="auto"/>
            <w:bottom w:val="none" w:sz="0" w:space="0" w:color="auto"/>
            <w:right w:val="none" w:sz="0" w:space="0" w:color="auto"/>
          </w:divBdr>
        </w:div>
        <w:div w:id="407580772">
          <w:marLeft w:val="0"/>
          <w:marRight w:val="0"/>
          <w:marTop w:val="0"/>
          <w:marBottom w:val="0"/>
          <w:divBdr>
            <w:top w:val="none" w:sz="0" w:space="0" w:color="auto"/>
            <w:left w:val="none" w:sz="0" w:space="0" w:color="auto"/>
            <w:bottom w:val="none" w:sz="0" w:space="0" w:color="auto"/>
            <w:right w:val="none" w:sz="0" w:space="0" w:color="auto"/>
          </w:divBdr>
        </w:div>
        <w:div w:id="27343082">
          <w:marLeft w:val="0"/>
          <w:marRight w:val="0"/>
          <w:marTop w:val="0"/>
          <w:marBottom w:val="0"/>
          <w:divBdr>
            <w:top w:val="none" w:sz="0" w:space="0" w:color="auto"/>
            <w:left w:val="none" w:sz="0" w:space="0" w:color="auto"/>
            <w:bottom w:val="none" w:sz="0" w:space="0" w:color="auto"/>
            <w:right w:val="none" w:sz="0" w:space="0" w:color="auto"/>
          </w:divBdr>
        </w:div>
        <w:div w:id="194467510">
          <w:marLeft w:val="0"/>
          <w:marRight w:val="0"/>
          <w:marTop w:val="0"/>
          <w:marBottom w:val="0"/>
          <w:divBdr>
            <w:top w:val="none" w:sz="0" w:space="0" w:color="auto"/>
            <w:left w:val="none" w:sz="0" w:space="0" w:color="auto"/>
            <w:bottom w:val="none" w:sz="0" w:space="0" w:color="auto"/>
            <w:right w:val="none" w:sz="0" w:space="0" w:color="auto"/>
          </w:divBdr>
        </w:div>
        <w:div w:id="402409972">
          <w:marLeft w:val="0"/>
          <w:marRight w:val="0"/>
          <w:marTop w:val="0"/>
          <w:marBottom w:val="0"/>
          <w:divBdr>
            <w:top w:val="none" w:sz="0" w:space="0" w:color="auto"/>
            <w:left w:val="none" w:sz="0" w:space="0" w:color="auto"/>
            <w:bottom w:val="none" w:sz="0" w:space="0" w:color="auto"/>
            <w:right w:val="none" w:sz="0" w:space="0" w:color="auto"/>
          </w:divBdr>
        </w:div>
        <w:div w:id="966399891">
          <w:marLeft w:val="0"/>
          <w:marRight w:val="0"/>
          <w:marTop w:val="0"/>
          <w:marBottom w:val="0"/>
          <w:divBdr>
            <w:top w:val="none" w:sz="0" w:space="0" w:color="auto"/>
            <w:left w:val="none" w:sz="0" w:space="0" w:color="auto"/>
            <w:bottom w:val="none" w:sz="0" w:space="0" w:color="auto"/>
            <w:right w:val="none" w:sz="0" w:space="0" w:color="auto"/>
          </w:divBdr>
        </w:div>
        <w:div w:id="1652293670">
          <w:marLeft w:val="0"/>
          <w:marRight w:val="0"/>
          <w:marTop w:val="0"/>
          <w:marBottom w:val="0"/>
          <w:divBdr>
            <w:top w:val="none" w:sz="0" w:space="0" w:color="auto"/>
            <w:left w:val="none" w:sz="0" w:space="0" w:color="auto"/>
            <w:bottom w:val="none" w:sz="0" w:space="0" w:color="auto"/>
            <w:right w:val="none" w:sz="0" w:space="0" w:color="auto"/>
          </w:divBdr>
        </w:div>
      </w:divsChild>
    </w:div>
    <w:div w:id="1849631657">
      <w:bodyDiv w:val="1"/>
      <w:marLeft w:val="0"/>
      <w:marRight w:val="0"/>
      <w:marTop w:val="0"/>
      <w:marBottom w:val="0"/>
      <w:divBdr>
        <w:top w:val="none" w:sz="0" w:space="0" w:color="auto"/>
        <w:left w:val="none" w:sz="0" w:space="0" w:color="auto"/>
        <w:bottom w:val="none" w:sz="0" w:space="0" w:color="auto"/>
        <w:right w:val="none" w:sz="0" w:space="0" w:color="auto"/>
      </w:divBdr>
      <w:divsChild>
        <w:div w:id="736256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7D0C-B40A-4EF3-AD0C-C4074ECF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Darshna Govind</dc:creator>
  <cp:lastModifiedBy>clifford</cp:lastModifiedBy>
  <cp:revision>2</cp:revision>
  <dcterms:created xsi:type="dcterms:W3CDTF">2017-05-11T22:53:00Z</dcterms:created>
  <dcterms:modified xsi:type="dcterms:W3CDTF">2017-05-11T22:53:00Z</dcterms:modified>
</cp:coreProperties>
</file>