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jpeg" ContentType="image/jpeg"/>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1A2" w:rsidRPr="006252B9" w:rsidRDefault="00B93974" w:rsidP="005032E3">
      <w:pPr>
        <w:pStyle w:val="Heading1"/>
      </w:pPr>
      <w:r w:rsidRPr="006252B9">
        <w:t>Methenamine Hippurate</w:t>
      </w:r>
      <w:r w:rsidR="00F26B08" w:rsidRPr="006252B9">
        <w:t xml:space="preserve"> (Hiprex)</w:t>
      </w:r>
      <w:r w:rsidR="00AB31A2" w:rsidRPr="006252B9">
        <w:t xml:space="preserve"> versus </w:t>
      </w:r>
      <w:r w:rsidR="00797365">
        <w:t>Nitrofurantoin</w:t>
      </w:r>
      <w:r w:rsidR="00CD66EE">
        <w:t xml:space="preserve"> for</w:t>
      </w:r>
      <w:r w:rsidR="00AB31A2" w:rsidRPr="006252B9">
        <w:t xml:space="preserve"> recurrent </w:t>
      </w:r>
      <w:r w:rsidRPr="006252B9">
        <w:t xml:space="preserve">lower </w:t>
      </w:r>
      <w:r w:rsidR="00AB31A2" w:rsidRPr="006252B9">
        <w:t>urinary tract infection</w:t>
      </w:r>
      <w:r w:rsidRPr="006252B9">
        <w:t xml:space="preserve"> in women</w:t>
      </w:r>
      <w:r w:rsidR="00AB31A2" w:rsidRPr="006252B9">
        <w:t>: A</w:t>
      </w:r>
      <w:r w:rsidR="00797365">
        <w:t xml:space="preserve">n open-label non-inferiority </w:t>
      </w:r>
      <w:r w:rsidR="005032E3">
        <w:t xml:space="preserve">multi-centre </w:t>
      </w:r>
      <w:r w:rsidR="00797365">
        <w:t>randomised controlled trial</w:t>
      </w:r>
    </w:p>
    <w:p w:rsidR="00B90824" w:rsidRPr="006252B9" w:rsidRDefault="00B90824">
      <w:pPr>
        <w:rPr>
          <w:rFonts w:ascii="Cambria" w:hAnsi="Cambria"/>
          <w:b/>
          <w:bCs/>
          <w:sz w:val="28"/>
          <w:szCs w:val="28"/>
        </w:rPr>
      </w:pPr>
    </w:p>
    <w:p w:rsidR="001373B8" w:rsidRPr="006252B9" w:rsidRDefault="00AB31A2">
      <w:pPr>
        <w:rPr>
          <w:rFonts w:ascii="Cambria" w:hAnsi="Cambria"/>
          <w:b/>
          <w:bCs/>
          <w:sz w:val="28"/>
          <w:szCs w:val="28"/>
        </w:rPr>
      </w:pPr>
      <w:r w:rsidRPr="006252B9">
        <w:rPr>
          <w:rFonts w:ascii="Cambria" w:hAnsi="Cambria"/>
          <w:b/>
          <w:bCs/>
          <w:sz w:val="28"/>
          <w:szCs w:val="28"/>
        </w:rPr>
        <w:t>Aim:</w:t>
      </w:r>
    </w:p>
    <w:p w:rsidR="00AB31A2" w:rsidRPr="006252B9" w:rsidRDefault="001373B8">
      <w:pPr>
        <w:rPr>
          <w:rFonts w:ascii="Cambria" w:hAnsi="Cambria"/>
          <w:sz w:val="28"/>
          <w:szCs w:val="28"/>
        </w:rPr>
      </w:pPr>
      <w:r w:rsidRPr="006252B9">
        <w:rPr>
          <w:rFonts w:ascii="Cambria" w:hAnsi="Cambria"/>
          <w:sz w:val="28"/>
          <w:szCs w:val="28"/>
        </w:rPr>
        <w:t>The</w:t>
      </w:r>
      <w:r w:rsidR="00B93974" w:rsidRPr="006252B9">
        <w:rPr>
          <w:rFonts w:ascii="Cambria" w:hAnsi="Cambria"/>
          <w:sz w:val="28"/>
          <w:szCs w:val="28"/>
        </w:rPr>
        <w:t xml:space="preserve"> aim of this study is to asse</w:t>
      </w:r>
      <w:r w:rsidR="00F26B08" w:rsidRPr="006252B9">
        <w:rPr>
          <w:rFonts w:ascii="Cambria" w:hAnsi="Cambria"/>
          <w:sz w:val="28"/>
          <w:szCs w:val="28"/>
        </w:rPr>
        <w:t>ss and compare the efficacy of methenamine h</w:t>
      </w:r>
      <w:r w:rsidR="00B93974" w:rsidRPr="006252B9">
        <w:rPr>
          <w:rFonts w:ascii="Cambria" w:hAnsi="Cambria"/>
          <w:sz w:val="28"/>
          <w:szCs w:val="28"/>
        </w:rPr>
        <w:t xml:space="preserve">ippurate with oral </w:t>
      </w:r>
      <w:r w:rsidR="00052087">
        <w:rPr>
          <w:rFonts w:ascii="Cambria" w:hAnsi="Cambria"/>
          <w:sz w:val="28"/>
          <w:szCs w:val="28"/>
        </w:rPr>
        <w:t xml:space="preserve">prophylactic </w:t>
      </w:r>
      <w:r w:rsidR="00B93974" w:rsidRPr="006252B9">
        <w:rPr>
          <w:rFonts w:ascii="Cambria" w:hAnsi="Cambria"/>
          <w:sz w:val="28"/>
          <w:szCs w:val="28"/>
        </w:rPr>
        <w:t>antibiotics in women with recurrent urinary tract infection.</w:t>
      </w:r>
    </w:p>
    <w:p w:rsidR="00AB31A2" w:rsidRPr="006252B9" w:rsidRDefault="00AB31A2">
      <w:pPr>
        <w:rPr>
          <w:rFonts w:ascii="Cambria" w:hAnsi="Cambria"/>
          <w:sz w:val="28"/>
          <w:szCs w:val="28"/>
        </w:rPr>
      </w:pPr>
    </w:p>
    <w:p w:rsidR="00B93974" w:rsidRPr="006252B9" w:rsidRDefault="00AB31A2">
      <w:pPr>
        <w:rPr>
          <w:rFonts w:ascii="Cambria" w:hAnsi="Cambria"/>
          <w:b/>
          <w:bCs/>
          <w:sz w:val="28"/>
          <w:szCs w:val="28"/>
        </w:rPr>
      </w:pPr>
      <w:r w:rsidRPr="006252B9">
        <w:rPr>
          <w:rFonts w:ascii="Cambria" w:hAnsi="Cambria"/>
          <w:b/>
          <w:bCs/>
          <w:sz w:val="28"/>
          <w:szCs w:val="28"/>
        </w:rPr>
        <w:t>Background:</w:t>
      </w:r>
    </w:p>
    <w:p w:rsidR="0025167D" w:rsidRPr="006252B9" w:rsidRDefault="002F33BF" w:rsidP="00882DE5">
      <w:pPr>
        <w:widowControl w:val="0"/>
        <w:autoSpaceDE w:val="0"/>
        <w:autoSpaceDN w:val="0"/>
        <w:adjustRightInd w:val="0"/>
        <w:spacing w:after="240" w:line="340" w:lineRule="atLeast"/>
        <w:rPr>
          <w:rFonts w:ascii="Cambria" w:hAnsi="Cambria" w:cs="Times"/>
          <w:sz w:val="28"/>
          <w:szCs w:val="28"/>
          <w:lang w:val="en-US"/>
        </w:rPr>
      </w:pPr>
      <w:r w:rsidRPr="006252B9">
        <w:rPr>
          <w:rFonts w:ascii="Cambria" w:hAnsi="Cambria"/>
          <w:sz w:val="28"/>
          <w:szCs w:val="28"/>
        </w:rPr>
        <w:t xml:space="preserve">Lower </w:t>
      </w:r>
      <w:r w:rsidR="009A098A" w:rsidRPr="006252B9">
        <w:rPr>
          <w:rFonts w:ascii="Cambria" w:hAnsi="Cambria"/>
          <w:sz w:val="28"/>
          <w:szCs w:val="28"/>
        </w:rPr>
        <w:t>urinary tract infections</w:t>
      </w:r>
      <w:r w:rsidRPr="006252B9">
        <w:rPr>
          <w:rFonts w:ascii="Cambria" w:hAnsi="Cambria"/>
          <w:sz w:val="28"/>
          <w:szCs w:val="28"/>
        </w:rPr>
        <w:t xml:space="preserve"> present with cystitis </w:t>
      </w:r>
      <w:r w:rsidR="009A098A" w:rsidRPr="006252B9">
        <w:rPr>
          <w:rFonts w:ascii="Cambria" w:hAnsi="Cambria"/>
          <w:sz w:val="28"/>
          <w:szCs w:val="28"/>
        </w:rPr>
        <w:t>and/</w:t>
      </w:r>
      <w:r w:rsidRPr="006252B9">
        <w:rPr>
          <w:rFonts w:ascii="Cambria" w:hAnsi="Cambria"/>
          <w:sz w:val="28"/>
          <w:szCs w:val="28"/>
        </w:rPr>
        <w:t xml:space="preserve">or urethritis. </w:t>
      </w:r>
      <w:r w:rsidRPr="006252B9">
        <w:rPr>
          <w:rFonts w:ascii="Cambria" w:hAnsi="Cambria" w:cs="Helvetica Neue"/>
          <w:sz w:val="28"/>
          <w:szCs w:val="28"/>
          <w:lang w:val="en-US"/>
        </w:rPr>
        <w:t>Symptoms include frequent urination,</w:t>
      </w:r>
      <w:r w:rsidR="00A211A1" w:rsidRPr="006252B9">
        <w:rPr>
          <w:rFonts w:ascii="Cambria" w:hAnsi="Cambria" w:cs="Helvetica Neue"/>
          <w:sz w:val="28"/>
          <w:szCs w:val="28"/>
          <w:lang w:val="en-US"/>
        </w:rPr>
        <w:t xml:space="preserve"> urgency, dysuria</w:t>
      </w:r>
      <w:r w:rsidRPr="006252B9">
        <w:rPr>
          <w:rFonts w:ascii="Cambria" w:hAnsi="Cambria" w:cs="Helvetica Neue"/>
          <w:sz w:val="28"/>
          <w:szCs w:val="28"/>
          <w:lang w:val="en-US"/>
        </w:rPr>
        <w:t>, suprapubic pain, turbid or foul smelling urine,</w:t>
      </w:r>
      <w:r w:rsidR="00F26B08" w:rsidRPr="006252B9">
        <w:rPr>
          <w:rFonts w:ascii="Cambria" w:hAnsi="Cambria" w:cs="Helvetica Neue"/>
          <w:sz w:val="28"/>
          <w:szCs w:val="28"/>
          <w:lang w:val="en-US"/>
        </w:rPr>
        <w:t xml:space="preserve"> haematuria,</w:t>
      </w:r>
      <w:r w:rsidRPr="006252B9">
        <w:rPr>
          <w:rFonts w:ascii="Cambria" w:hAnsi="Cambria" w:cs="Helvetica Neue"/>
          <w:sz w:val="28"/>
          <w:szCs w:val="28"/>
          <w:lang w:val="en-US"/>
        </w:rPr>
        <w:t xml:space="preserve"> fever and </w:t>
      </w:r>
      <w:r w:rsidR="00A211A1" w:rsidRPr="006252B9">
        <w:rPr>
          <w:rFonts w:ascii="Cambria" w:hAnsi="Cambria" w:cs="Helvetica Neue"/>
          <w:sz w:val="28"/>
          <w:szCs w:val="28"/>
          <w:lang w:val="en-US"/>
        </w:rPr>
        <w:t>non-specific lower back pain.</w:t>
      </w:r>
      <w:r w:rsidR="004416FA">
        <w:rPr>
          <w:rFonts w:ascii="Cambria" w:hAnsi="Cambria" w:cs="Helvetica Neue"/>
          <w:sz w:val="28"/>
          <w:szCs w:val="28"/>
          <w:lang w:val="en-US"/>
        </w:rPr>
        <w:t xml:space="preserve"> </w:t>
      </w:r>
      <w:r w:rsidR="00882DE5">
        <w:rPr>
          <w:rFonts w:ascii="Cambria" w:hAnsi="Cambria" w:cs="Helvetica Neue"/>
          <w:sz w:val="28"/>
          <w:szCs w:val="28"/>
          <w:lang w:val="en-US"/>
        </w:rPr>
        <w:t xml:space="preserve">(1) </w:t>
      </w:r>
      <w:r w:rsidR="006E37F6" w:rsidRPr="006252B9">
        <w:rPr>
          <w:rFonts w:ascii="Cambria" w:hAnsi="Cambria" w:cs="Times New Roman"/>
          <w:sz w:val="28"/>
          <w:szCs w:val="28"/>
          <w:lang w:val="en-US"/>
        </w:rPr>
        <w:t>Evidence of</w:t>
      </w:r>
      <w:r w:rsidR="00D90AA0" w:rsidRPr="006252B9">
        <w:rPr>
          <w:rFonts w:ascii="Cambria" w:hAnsi="Cambria" w:cs="Times New Roman"/>
          <w:sz w:val="28"/>
          <w:szCs w:val="28"/>
          <w:lang w:val="en-US"/>
        </w:rPr>
        <w:t xml:space="preserve"> two or more infections in six months or three or more in one year </w:t>
      </w:r>
      <w:r w:rsidR="00517385" w:rsidRPr="006252B9">
        <w:rPr>
          <w:rFonts w:ascii="Cambria" w:hAnsi="Cambria" w:cs="Times New Roman"/>
          <w:sz w:val="28"/>
          <w:szCs w:val="28"/>
          <w:lang w:val="en-US"/>
        </w:rPr>
        <w:t>is referred to as</w:t>
      </w:r>
      <w:r w:rsidR="00D90AA0" w:rsidRPr="006252B9">
        <w:rPr>
          <w:rFonts w:ascii="Cambria" w:hAnsi="Cambria" w:cs="Times New Roman"/>
          <w:sz w:val="28"/>
          <w:szCs w:val="28"/>
          <w:lang w:val="en-US"/>
        </w:rPr>
        <w:t xml:space="preserve"> of recurrent UTI</w:t>
      </w:r>
      <w:r w:rsidR="00A92422" w:rsidRPr="006252B9">
        <w:rPr>
          <w:rFonts w:ascii="Cambria" w:hAnsi="Cambria" w:cs="Times New Roman"/>
          <w:sz w:val="28"/>
          <w:szCs w:val="28"/>
          <w:lang w:val="en-US"/>
        </w:rPr>
        <w:t xml:space="preserve"> (rUTI)</w:t>
      </w:r>
      <w:r w:rsidR="00D90AA0" w:rsidRPr="006252B9">
        <w:rPr>
          <w:rFonts w:ascii="Cambria" w:hAnsi="Cambria" w:cs="Times New Roman"/>
          <w:sz w:val="28"/>
          <w:szCs w:val="28"/>
          <w:lang w:val="en-US"/>
        </w:rPr>
        <w:t>.</w:t>
      </w:r>
      <w:r w:rsidR="00A92422" w:rsidRPr="006252B9">
        <w:rPr>
          <w:rFonts w:ascii="Cambria" w:hAnsi="Cambria" w:cs="Times"/>
          <w:sz w:val="28"/>
          <w:szCs w:val="28"/>
          <w:lang w:val="en-US"/>
        </w:rPr>
        <w:t xml:space="preserve"> </w:t>
      </w:r>
      <w:r w:rsidR="00315FC8">
        <w:rPr>
          <w:rFonts w:ascii="Cambria" w:hAnsi="Cambria" w:cs="Times"/>
          <w:sz w:val="28"/>
          <w:szCs w:val="28"/>
          <w:lang w:val="en-US"/>
        </w:rPr>
        <w:t>(2-7)</w:t>
      </w:r>
    </w:p>
    <w:p w:rsidR="00A92422" w:rsidRPr="006252B9" w:rsidRDefault="00A92422" w:rsidP="00517385">
      <w:pPr>
        <w:widowControl w:val="0"/>
        <w:autoSpaceDE w:val="0"/>
        <w:autoSpaceDN w:val="0"/>
        <w:adjustRightInd w:val="0"/>
        <w:spacing w:after="240" w:line="340" w:lineRule="atLeast"/>
        <w:rPr>
          <w:rFonts w:ascii="Cambria" w:hAnsi="Cambria" w:cs="Times"/>
          <w:sz w:val="28"/>
          <w:szCs w:val="28"/>
          <w:lang w:val="en-US"/>
        </w:rPr>
      </w:pPr>
      <w:r w:rsidRPr="006252B9">
        <w:rPr>
          <w:rFonts w:ascii="Cambria" w:hAnsi="Cambria" w:cs="Times"/>
          <w:sz w:val="28"/>
          <w:szCs w:val="28"/>
          <w:lang w:val="en-US"/>
        </w:rPr>
        <w:t>In a study of healthy college age women who were followed for 6 months after an index UTI almost 30% had at least one symptomatic recurrence.</w:t>
      </w:r>
      <w:r w:rsidR="004E51B2">
        <w:rPr>
          <w:rFonts w:ascii="Cambria" w:hAnsi="Cambria" w:cs="Times"/>
          <w:sz w:val="28"/>
          <w:szCs w:val="28"/>
          <w:lang w:val="en-US"/>
        </w:rPr>
        <w:t xml:space="preserve"> (8)</w:t>
      </w:r>
      <w:r w:rsidR="004E51B2">
        <w:rPr>
          <w:rFonts w:ascii="Cambria" w:hAnsi="Cambria" w:cs="Times"/>
          <w:position w:val="8"/>
          <w:sz w:val="28"/>
          <w:szCs w:val="28"/>
          <w:lang w:val="en-US"/>
        </w:rPr>
        <w:t xml:space="preserve"> </w:t>
      </w:r>
      <w:r w:rsidRPr="006252B9">
        <w:rPr>
          <w:rFonts w:ascii="Cambria" w:hAnsi="Cambria" w:cs="Times"/>
          <w:sz w:val="28"/>
          <w:szCs w:val="28"/>
          <w:lang w:val="en-US"/>
        </w:rPr>
        <w:t>In another study of 179 Finnish women who were followed for 1 year after an index Escherichia coli UTI,</w:t>
      </w:r>
      <w:r w:rsidR="00347CED">
        <w:rPr>
          <w:rFonts w:ascii="Cambria" w:hAnsi="Cambria" w:cs="Times"/>
          <w:sz w:val="28"/>
          <w:szCs w:val="28"/>
          <w:lang w:val="en-US"/>
        </w:rPr>
        <w:t xml:space="preserve"> 44% had a least one </w:t>
      </w:r>
      <w:r w:rsidR="004E51B2">
        <w:rPr>
          <w:rFonts w:ascii="Cambria" w:hAnsi="Cambria" w:cs="Times"/>
          <w:sz w:val="28"/>
          <w:szCs w:val="28"/>
          <w:lang w:val="en-US"/>
        </w:rPr>
        <w:t>UTI and 5% had more than three rUTIs. (9)</w:t>
      </w:r>
    </w:p>
    <w:p w:rsidR="00ED19AA" w:rsidRPr="006252B9" w:rsidRDefault="009D3AD0" w:rsidP="000A4EC2">
      <w:pPr>
        <w:widowControl w:val="0"/>
        <w:autoSpaceDE w:val="0"/>
        <w:autoSpaceDN w:val="0"/>
        <w:adjustRightInd w:val="0"/>
        <w:spacing w:after="240" w:line="340" w:lineRule="atLeast"/>
        <w:rPr>
          <w:rFonts w:ascii="Cambria" w:hAnsi="Cambria" w:cs="Times"/>
          <w:sz w:val="28"/>
          <w:szCs w:val="28"/>
          <w:lang w:val="en-US"/>
        </w:rPr>
      </w:pPr>
      <w:r>
        <w:rPr>
          <w:rFonts w:ascii="Cambria" w:hAnsi="Cambria" w:cs="Times"/>
          <w:sz w:val="28"/>
          <w:szCs w:val="28"/>
          <w:lang w:val="en-US"/>
        </w:rPr>
        <w:t>S</w:t>
      </w:r>
      <w:r w:rsidR="000A4EC2" w:rsidRPr="006252B9">
        <w:rPr>
          <w:rFonts w:ascii="Cambria" w:hAnsi="Cambria" w:cs="Times"/>
          <w:sz w:val="28"/>
          <w:szCs w:val="28"/>
          <w:lang w:val="en-US"/>
        </w:rPr>
        <w:t xml:space="preserve">ymptomatic rUTI can be particularly </w:t>
      </w:r>
      <w:r>
        <w:rPr>
          <w:rFonts w:ascii="Cambria" w:hAnsi="Cambria" w:cs="Times"/>
          <w:sz w:val="28"/>
          <w:szCs w:val="28"/>
          <w:lang w:val="en-US"/>
        </w:rPr>
        <w:t xml:space="preserve">distressing </w:t>
      </w:r>
      <w:r w:rsidR="000A4EC2" w:rsidRPr="006252B9">
        <w:rPr>
          <w:rFonts w:ascii="Cambria" w:hAnsi="Cambria" w:cs="Times"/>
          <w:sz w:val="28"/>
          <w:szCs w:val="28"/>
          <w:lang w:val="en-US"/>
        </w:rPr>
        <w:t>fo</w:t>
      </w:r>
      <w:r>
        <w:rPr>
          <w:rFonts w:ascii="Cambria" w:hAnsi="Cambria" w:cs="Times"/>
          <w:sz w:val="28"/>
          <w:szCs w:val="28"/>
          <w:lang w:val="en-US"/>
        </w:rPr>
        <w:t xml:space="preserve">r </w:t>
      </w:r>
      <w:r w:rsidR="000A4EC2" w:rsidRPr="006252B9">
        <w:rPr>
          <w:rFonts w:ascii="Cambria" w:hAnsi="Cambria" w:cs="Times"/>
          <w:sz w:val="28"/>
          <w:szCs w:val="28"/>
          <w:lang w:val="en-US"/>
        </w:rPr>
        <w:t>patients</w:t>
      </w:r>
      <w:r w:rsidR="004F5F9A">
        <w:rPr>
          <w:rFonts w:ascii="Cambria" w:hAnsi="Cambria" w:cs="Times"/>
          <w:sz w:val="28"/>
          <w:szCs w:val="28"/>
          <w:lang w:val="en-US"/>
        </w:rPr>
        <w:t>.</w:t>
      </w:r>
      <w:r w:rsidR="000A4EC2" w:rsidRPr="006252B9">
        <w:rPr>
          <w:rFonts w:ascii="Cambria" w:hAnsi="Cambria" w:cs="Times"/>
          <w:sz w:val="28"/>
          <w:szCs w:val="28"/>
          <w:lang w:val="en-US"/>
        </w:rPr>
        <w:t xml:space="preserve"> Each episode of UTI is associated with days of lower urinary tract symptoms, general malaise, and restrictions on everyday activities and days lost from work</w:t>
      </w:r>
      <w:r>
        <w:rPr>
          <w:rFonts w:ascii="Cambria" w:hAnsi="Cambria" w:cs="Times"/>
          <w:sz w:val="28"/>
          <w:szCs w:val="28"/>
          <w:lang w:val="en-US"/>
        </w:rPr>
        <w:t xml:space="preserve"> and often hospitalisation in elderly patients</w:t>
      </w:r>
      <w:r w:rsidR="000A4EC2" w:rsidRPr="006252B9">
        <w:rPr>
          <w:rFonts w:ascii="Cambria" w:hAnsi="Cambria" w:cs="Times"/>
          <w:sz w:val="28"/>
          <w:szCs w:val="28"/>
          <w:lang w:val="en-US"/>
        </w:rPr>
        <w:t>.</w:t>
      </w:r>
      <w:r w:rsidR="006630A9">
        <w:rPr>
          <w:rFonts w:ascii="Cambria" w:hAnsi="Cambria" w:cs="Times"/>
          <w:sz w:val="28"/>
          <w:szCs w:val="28"/>
          <w:lang w:val="en-US"/>
        </w:rPr>
        <w:t xml:space="preserve"> (10)</w:t>
      </w:r>
    </w:p>
    <w:p w:rsidR="00ED19AA" w:rsidRPr="006252B9" w:rsidRDefault="00ED19AA" w:rsidP="00B90824">
      <w:pPr>
        <w:widowControl w:val="0"/>
        <w:autoSpaceDE w:val="0"/>
        <w:autoSpaceDN w:val="0"/>
        <w:adjustRightInd w:val="0"/>
        <w:spacing w:after="240" w:line="280" w:lineRule="atLeast"/>
        <w:rPr>
          <w:rFonts w:ascii="Cambria" w:hAnsi="Cambria" w:cs="Times"/>
          <w:sz w:val="28"/>
          <w:szCs w:val="28"/>
          <w:lang w:val="en-US"/>
        </w:rPr>
      </w:pPr>
      <w:r w:rsidRPr="006252B9">
        <w:rPr>
          <w:rFonts w:ascii="Cambria" w:hAnsi="Cambria" w:cs="Times"/>
          <w:sz w:val="28"/>
          <w:szCs w:val="28"/>
          <w:lang w:val="en-US"/>
        </w:rPr>
        <w:t xml:space="preserve">Methenamine hippurate (Hiprex) is often used in the prevention of UTI. </w:t>
      </w:r>
      <w:r w:rsidR="00B90824" w:rsidRPr="006252B9">
        <w:rPr>
          <w:rFonts w:ascii="Cambria" w:hAnsi="Cambria" w:cs="Times"/>
          <w:sz w:val="28"/>
          <w:szCs w:val="28"/>
          <w:lang w:val="en-US"/>
        </w:rPr>
        <w:t>It is</w:t>
      </w:r>
      <w:r w:rsidRPr="006252B9">
        <w:rPr>
          <w:rFonts w:ascii="Cambria" w:hAnsi="Cambria" w:cs="Times"/>
          <w:sz w:val="28"/>
          <w:szCs w:val="28"/>
          <w:lang w:val="en-US"/>
        </w:rPr>
        <w:t xml:space="preserve"> frequently used for prolonged periods because, unlike conventional antibiotics, acquired resistance does not appear to develop. Given the problems of increasing antibiotic resistance, </w:t>
      </w:r>
      <w:r w:rsidR="003F1680" w:rsidRPr="006252B9">
        <w:rPr>
          <w:rFonts w:ascii="Cambria" w:hAnsi="Cambria" w:cs="Times"/>
          <w:sz w:val="28"/>
          <w:szCs w:val="28"/>
          <w:lang w:val="en-US"/>
        </w:rPr>
        <w:t>Hiprex</w:t>
      </w:r>
      <w:r w:rsidRPr="006252B9">
        <w:rPr>
          <w:rFonts w:ascii="Cambria" w:hAnsi="Cambria" w:cs="Times"/>
          <w:sz w:val="28"/>
          <w:szCs w:val="28"/>
          <w:lang w:val="en-US"/>
        </w:rPr>
        <w:t xml:space="preserve"> may be especially useful in populations susceptible to recurrent UTI. </w:t>
      </w:r>
    </w:p>
    <w:p w:rsidR="00AB31A2" w:rsidRPr="006252B9" w:rsidRDefault="002D185E" w:rsidP="00320D5D">
      <w:pPr>
        <w:widowControl w:val="0"/>
        <w:autoSpaceDE w:val="0"/>
        <w:autoSpaceDN w:val="0"/>
        <w:adjustRightInd w:val="0"/>
        <w:spacing w:after="240" w:line="280" w:lineRule="atLeast"/>
        <w:rPr>
          <w:rFonts w:ascii="Cambria" w:hAnsi="Cambria" w:cs="Times"/>
          <w:sz w:val="28"/>
          <w:szCs w:val="28"/>
          <w:lang w:val="en-US"/>
        </w:rPr>
      </w:pPr>
      <w:r w:rsidRPr="006252B9">
        <w:rPr>
          <w:rFonts w:ascii="Cambria" w:hAnsi="Cambria" w:cs="Times"/>
          <w:sz w:val="28"/>
          <w:szCs w:val="28"/>
          <w:lang w:val="en-US"/>
        </w:rPr>
        <w:t xml:space="preserve">A 2012 Cochrane review including 13 studies (2032 patients) reports that Methenamine hippurate may be effective for preventing UTI in patients without renal tract abnormalities, particularly when used for short-term prophylaxis. It does not appear to work in patients with neuropathic bladder or in patients who have renal tract abnormalities. The rate of adverse events was low, but poorly described. </w:t>
      </w:r>
      <w:r w:rsidR="000D7FEC" w:rsidRPr="006252B9">
        <w:rPr>
          <w:rFonts w:ascii="Cambria" w:hAnsi="Cambria" w:cs="Times"/>
          <w:sz w:val="28"/>
          <w:szCs w:val="28"/>
          <w:lang w:val="en-US"/>
        </w:rPr>
        <w:t>The review indicates</w:t>
      </w:r>
      <w:r w:rsidRPr="006252B9">
        <w:rPr>
          <w:rFonts w:ascii="Cambria" w:hAnsi="Cambria" w:cs="Times"/>
          <w:sz w:val="28"/>
          <w:szCs w:val="28"/>
          <w:lang w:val="en-US"/>
        </w:rPr>
        <w:t xml:space="preserve"> a need for </w:t>
      </w:r>
      <w:r w:rsidR="00347CED">
        <w:rPr>
          <w:rFonts w:ascii="Cambria" w:hAnsi="Cambria" w:cs="Times"/>
          <w:sz w:val="28"/>
          <w:szCs w:val="28"/>
          <w:lang w:val="en-US"/>
        </w:rPr>
        <w:t>further large well-conducted randomised controlled trial</w:t>
      </w:r>
      <w:r w:rsidRPr="006252B9">
        <w:rPr>
          <w:rFonts w:ascii="Cambria" w:hAnsi="Cambria" w:cs="Times"/>
          <w:sz w:val="28"/>
          <w:szCs w:val="28"/>
          <w:lang w:val="en-US"/>
        </w:rPr>
        <w:t>s</w:t>
      </w:r>
      <w:r w:rsidR="00B86C8D">
        <w:rPr>
          <w:rFonts w:ascii="Cambria" w:hAnsi="Cambria" w:cs="Times"/>
          <w:sz w:val="28"/>
          <w:szCs w:val="28"/>
          <w:lang w:val="en-US"/>
        </w:rPr>
        <w:t xml:space="preserve"> (RCTs)</w:t>
      </w:r>
      <w:r w:rsidRPr="006252B9">
        <w:rPr>
          <w:rFonts w:ascii="Cambria" w:hAnsi="Cambria" w:cs="Times"/>
          <w:sz w:val="28"/>
          <w:szCs w:val="28"/>
          <w:lang w:val="en-US"/>
        </w:rPr>
        <w:t xml:space="preserve"> to clarify this question, particularly for longer term use for peo</w:t>
      </w:r>
      <w:r w:rsidR="0014346A">
        <w:rPr>
          <w:rFonts w:ascii="Cambria" w:hAnsi="Cambria" w:cs="Times"/>
          <w:sz w:val="28"/>
          <w:szCs w:val="28"/>
          <w:lang w:val="en-US"/>
        </w:rPr>
        <w:t>ple without neuropathic bladder. (11)</w:t>
      </w:r>
    </w:p>
    <w:p w:rsidR="00320D5D" w:rsidRPr="006252B9" w:rsidRDefault="00320D5D" w:rsidP="00320D5D">
      <w:pPr>
        <w:widowControl w:val="0"/>
        <w:autoSpaceDE w:val="0"/>
        <w:autoSpaceDN w:val="0"/>
        <w:adjustRightInd w:val="0"/>
        <w:spacing w:after="240" w:line="280" w:lineRule="atLeast"/>
        <w:rPr>
          <w:rFonts w:ascii="Cambria" w:hAnsi="Cambria" w:cs="Times"/>
          <w:sz w:val="28"/>
          <w:szCs w:val="28"/>
          <w:lang w:val="en-US"/>
        </w:rPr>
      </w:pPr>
    </w:p>
    <w:p w:rsidR="00052087" w:rsidRDefault="00052087">
      <w:pPr>
        <w:rPr>
          <w:rFonts w:ascii="Cambria" w:hAnsi="Cambria"/>
          <w:b/>
          <w:bCs/>
          <w:sz w:val="28"/>
          <w:szCs w:val="28"/>
        </w:rPr>
      </w:pPr>
      <w:r>
        <w:rPr>
          <w:rFonts w:ascii="Cambria" w:hAnsi="Cambria"/>
          <w:b/>
          <w:bCs/>
          <w:sz w:val="28"/>
          <w:szCs w:val="28"/>
        </w:rPr>
        <w:t>Hypothesis:</w:t>
      </w:r>
    </w:p>
    <w:p w:rsidR="00052087" w:rsidRDefault="00052087">
      <w:pPr>
        <w:rPr>
          <w:rFonts w:ascii="Cambria" w:hAnsi="Cambria"/>
          <w:sz w:val="28"/>
          <w:szCs w:val="28"/>
        </w:rPr>
      </w:pPr>
      <w:r>
        <w:rPr>
          <w:rFonts w:ascii="Cambria" w:hAnsi="Cambria"/>
          <w:sz w:val="28"/>
          <w:szCs w:val="28"/>
        </w:rPr>
        <w:t xml:space="preserve">Hiprex is as effective as nitrofurantoin in preventing </w:t>
      </w:r>
      <w:r w:rsidR="00B101EB">
        <w:rPr>
          <w:rFonts w:ascii="Cambria" w:hAnsi="Cambria"/>
          <w:sz w:val="28"/>
          <w:szCs w:val="28"/>
        </w:rPr>
        <w:t>rUTI</w:t>
      </w:r>
    </w:p>
    <w:p w:rsidR="00465021" w:rsidRPr="00052087" w:rsidRDefault="00465021">
      <w:pPr>
        <w:rPr>
          <w:rFonts w:ascii="Cambria" w:hAnsi="Cambria"/>
          <w:sz w:val="28"/>
          <w:szCs w:val="28"/>
        </w:rPr>
      </w:pPr>
    </w:p>
    <w:p w:rsidR="00AB31A2" w:rsidRPr="006252B9" w:rsidRDefault="005A2711">
      <w:pPr>
        <w:rPr>
          <w:rFonts w:ascii="Cambria" w:hAnsi="Cambria"/>
          <w:b/>
          <w:bCs/>
          <w:sz w:val="28"/>
          <w:szCs w:val="28"/>
        </w:rPr>
      </w:pPr>
      <w:r w:rsidRPr="006252B9">
        <w:rPr>
          <w:rFonts w:ascii="Cambria" w:hAnsi="Cambria"/>
          <w:b/>
          <w:bCs/>
          <w:sz w:val="28"/>
          <w:szCs w:val="28"/>
        </w:rPr>
        <w:t>Methods and Materials</w:t>
      </w:r>
      <w:r w:rsidR="00AB31A2" w:rsidRPr="006252B9">
        <w:rPr>
          <w:rFonts w:ascii="Cambria" w:hAnsi="Cambria"/>
          <w:b/>
          <w:bCs/>
          <w:sz w:val="28"/>
          <w:szCs w:val="28"/>
        </w:rPr>
        <w:t>:</w:t>
      </w:r>
    </w:p>
    <w:p w:rsidR="00D54E19" w:rsidRPr="006252B9" w:rsidRDefault="00320D5D" w:rsidP="00676283">
      <w:pPr>
        <w:rPr>
          <w:rFonts w:ascii="Cambria" w:hAnsi="Cambria"/>
          <w:sz w:val="28"/>
          <w:szCs w:val="28"/>
        </w:rPr>
      </w:pPr>
      <w:r w:rsidRPr="006252B9">
        <w:rPr>
          <w:rFonts w:ascii="Cambria" w:hAnsi="Cambria"/>
          <w:sz w:val="28"/>
          <w:szCs w:val="28"/>
        </w:rPr>
        <w:t xml:space="preserve">We plan to recruit patients </w:t>
      </w:r>
      <w:r w:rsidR="005A2711" w:rsidRPr="006252B9">
        <w:rPr>
          <w:rFonts w:ascii="Cambria" w:hAnsi="Cambria"/>
          <w:sz w:val="28"/>
          <w:szCs w:val="28"/>
        </w:rPr>
        <w:t>with known</w:t>
      </w:r>
      <w:r w:rsidRPr="006252B9">
        <w:rPr>
          <w:rFonts w:ascii="Cambria" w:hAnsi="Cambria"/>
          <w:sz w:val="28"/>
          <w:szCs w:val="28"/>
        </w:rPr>
        <w:t xml:space="preserve"> rUTI </w:t>
      </w:r>
      <w:r w:rsidR="005A2711" w:rsidRPr="006252B9">
        <w:rPr>
          <w:rFonts w:ascii="Cambria" w:hAnsi="Cambria"/>
          <w:sz w:val="28"/>
          <w:szCs w:val="28"/>
        </w:rPr>
        <w:t>to a</w:t>
      </w:r>
      <w:r w:rsidR="00945642">
        <w:rPr>
          <w:rFonts w:ascii="Cambria" w:hAnsi="Cambria"/>
          <w:sz w:val="28"/>
          <w:szCs w:val="28"/>
        </w:rPr>
        <w:t xml:space="preserve"> multi-centre</w:t>
      </w:r>
      <w:r w:rsidR="005A2711" w:rsidRPr="006252B9">
        <w:rPr>
          <w:rFonts w:ascii="Cambria" w:hAnsi="Cambria"/>
          <w:sz w:val="28"/>
          <w:szCs w:val="28"/>
        </w:rPr>
        <w:t xml:space="preserve"> </w:t>
      </w:r>
      <w:r w:rsidR="00676283">
        <w:rPr>
          <w:rFonts w:ascii="Cambria" w:hAnsi="Cambria"/>
          <w:sz w:val="28"/>
          <w:szCs w:val="28"/>
        </w:rPr>
        <w:t>open-label</w:t>
      </w:r>
      <w:r w:rsidR="00B101EB">
        <w:rPr>
          <w:rFonts w:ascii="Cambria" w:hAnsi="Cambria"/>
          <w:sz w:val="28"/>
          <w:szCs w:val="28"/>
        </w:rPr>
        <w:t xml:space="preserve"> non-inferiority</w:t>
      </w:r>
      <w:r w:rsidRPr="006252B9">
        <w:rPr>
          <w:rFonts w:ascii="Cambria" w:hAnsi="Cambria"/>
          <w:sz w:val="28"/>
          <w:szCs w:val="28"/>
        </w:rPr>
        <w:t xml:space="preserve"> randomised control trial of Hiprex versus oral antibiotics to assess the efficacy of each arm in the recurrence of UTI.</w:t>
      </w:r>
      <w:r w:rsidR="00D54E19" w:rsidRPr="006252B9">
        <w:rPr>
          <w:rFonts w:ascii="Cambria" w:hAnsi="Cambria"/>
          <w:sz w:val="28"/>
          <w:szCs w:val="28"/>
        </w:rPr>
        <w:t xml:space="preserve"> </w:t>
      </w:r>
    </w:p>
    <w:p w:rsidR="00320D5D" w:rsidRPr="006252B9" w:rsidRDefault="00320D5D">
      <w:pPr>
        <w:rPr>
          <w:rFonts w:ascii="Cambria" w:hAnsi="Cambria"/>
          <w:sz w:val="28"/>
          <w:szCs w:val="28"/>
        </w:rPr>
      </w:pPr>
      <w:r w:rsidRPr="006252B9">
        <w:rPr>
          <w:rFonts w:ascii="Cambria" w:hAnsi="Cambria"/>
          <w:sz w:val="28"/>
          <w:szCs w:val="28"/>
        </w:rPr>
        <w:t xml:space="preserve">We will seek ethical approval from </w:t>
      </w:r>
      <w:r w:rsidR="00DB7500">
        <w:rPr>
          <w:rFonts w:ascii="Cambria" w:hAnsi="Cambria"/>
          <w:sz w:val="28"/>
          <w:szCs w:val="28"/>
        </w:rPr>
        <w:t xml:space="preserve">the Ethics committees of the involved centres including </w:t>
      </w:r>
      <w:r w:rsidRPr="006252B9">
        <w:rPr>
          <w:rFonts w:ascii="Cambria" w:hAnsi="Cambria"/>
          <w:sz w:val="28"/>
          <w:szCs w:val="28"/>
        </w:rPr>
        <w:t>Mercy Hospital for Women</w:t>
      </w:r>
      <w:r w:rsidR="00DB7500">
        <w:rPr>
          <w:rFonts w:ascii="Cambria" w:hAnsi="Cambria"/>
          <w:sz w:val="28"/>
          <w:szCs w:val="28"/>
        </w:rPr>
        <w:t>,</w:t>
      </w:r>
      <w:r w:rsidR="00945642">
        <w:rPr>
          <w:rFonts w:ascii="Cambria" w:hAnsi="Cambria"/>
          <w:sz w:val="28"/>
          <w:szCs w:val="28"/>
        </w:rPr>
        <w:t xml:space="preserve"> Austin H</w:t>
      </w:r>
      <w:r w:rsidR="00DB7500">
        <w:rPr>
          <w:rFonts w:ascii="Cambria" w:hAnsi="Cambria"/>
          <w:sz w:val="28"/>
          <w:szCs w:val="28"/>
        </w:rPr>
        <w:t>ealth and Monash Medical Centre.</w:t>
      </w:r>
    </w:p>
    <w:p w:rsidR="00AB31A2" w:rsidRPr="006252B9" w:rsidRDefault="00320D5D">
      <w:pPr>
        <w:rPr>
          <w:rFonts w:ascii="Cambria" w:hAnsi="Cambria"/>
          <w:sz w:val="28"/>
          <w:szCs w:val="28"/>
        </w:rPr>
      </w:pPr>
      <w:r w:rsidRPr="006252B9">
        <w:rPr>
          <w:rFonts w:ascii="Cambria" w:hAnsi="Cambria"/>
          <w:sz w:val="28"/>
          <w:szCs w:val="28"/>
        </w:rPr>
        <w:t>Inclusion criteria:</w:t>
      </w:r>
    </w:p>
    <w:p w:rsidR="00754C3C" w:rsidRDefault="00754C3C" w:rsidP="00754C3C">
      <w:pPr>
        <w:pStyle w:val="ListParagraph"/>
        <w:numPr>
          <w:ilvl w:val="0"/>
          <w:numId w:val="1"/>
        </w:numPr>
        <w:rPr>
          <w:rFonts w:ascii="Cambria" w:hAnsi="Cambria"/>
          <w:sz w:val="28"/>
          <w:szCs w:val="28"/>
        </w:rPr>
      </w:pPr>
      <w:r w:rsidRPr="006252B9">
        <w:rPr>
          <w:rFonts w:ascii="Cambria" w:hAnsi="Cambria"/>
          <w:sz w:val="28"/>
          <w:szCs w:val="28"/>
        </w:rPr>
        <w:t>18 years old and above</w:t>
      </w:r>
    </w:p>
    <w:p w:rsidR="00197ABE" w:rsidRPr="00197ABE" w:rsidRDefault="00197ABE" w:rsidP="00754C3C">
      <w:pPr>
        <w:pStyle w:val="ListParagraph"/>
        <w:numPr>
          <w:ilvl w:val="0"/>
          <w:numId w:val="1"/>
        </w:numPr>
        <w:rPr>
          <w:sz w:val="28"/>
          <w:szCs w:val="28"/>
        </w:rPr>
      </w:pPr>
      <w:r>
        <w:rPr>
          <w:sz w:val="28"/>
          <w:szCs w:val="28"/>
        </w:rPr>
        <w:t>H</w:t>
      </w:r>
      <w:r w:rsidRPr="00197ABE">
        <w:rPr>
          <w:sz w:val="28"/>
          <w:szCs w:val="28"/>
        </w:rPr>
        <w:t>ave the capacity to give voluntary and informed consent</w:t>
      </w:r>
    </w:p>
    <w:p w:rsidR="00320D5D" w:rsidRPr="006252B9" w:rsidRDefault="009D4E0C" w:rsidP="00754C3C">
      <w:pPr>
        <w:pStyle w:val="ListParagraph"/>
        <w:numPr>
          <w:ilvl w:val="0"/>
          <w:numId w:val="1"/>
        </w:numPr>
        <w:rPr>
          <w:rFonts w:ascii="Cambria" w:hAnsi="Cambria"/>
          <w:sz w:val="28"/>
          <w:szCs w:val="28"/>
        </w:rPr>
      </w:pPr>
      <w:r w:rsidRPr="006252B9">
        <w:rPr>
          <w:rFonts w:ascii="Cambria" w:hAnsi="Cambria"/>
          <w:sz w:val="28"/>
          <w:szCs w:val="28"/>
        </w:rPr>
        <w:t>Recurrent UTI with documented 2 or more infections in the last 6 months or 3 or more in the last 12 months.</w:t>
      </w:r>
    </w:p>
    <w:p w:rsidR="00754C3C" w:rsidRPr="006252B9" w:rsidRDefault="00754C3C" w:rsidP="00754C3C">
      <w:pPr>
        <w:rPr>
          <w:rFonts w:ascii="Cambria" w:hAnsi="Cambria"/>
          <w:sz w:val="28"/>
          <w:szCs w:val="28"/>
        </w:rPr>
      </w:pPr>
      <w:r w:rsidRPr="006252B9">
        <w:rPr>
          <w:rFonts w:ascii="Cambria" w:hAnsi="Cambria"/>
          <w:sz w:val="28"/>
          <w:szCs w:val="28"/>
        </w:rPr>
        <w:t>Exclusion criteria:</w:t>
      </w:r>
    </w:p>
    <w:p w:rsidR="00270DAF" w:rsidRPr="00AB4AA1" w:rsidRDefault="00B81E9F" w:rsidP="00AB4AA1">
      <w:pPr>
        <w:pStyle w:val="ListParagraph"/>
        <w:widowControl w:val="0"/>
        <w:numPr>
          <w:ilvl w:val="0"/>
          <w:numId w:val="2"/>
        </w:numPr>
        <w:autoSpaceDE w:val="0"/>
        <w:autoSpaceDN w:val="0"/>
        <w:adjustRightInd w:val="0"/>
        <w:spacing w:after="240" w:line="360" w:lineRule="atLeast"/>
        <w:rPr>
          <w:rFonts w:ascii="Times" w:hAnsi="Times" w:cs="Times"/>
          <w:color w:val="000000"/>
          <w:lang w:val="en-GB"/>
        </w:rPr>
      </w:pPr>
      <w:r w:rsidRPr="00AB4AA1">
        <w:rPr>
          <w:rFonts w:ascii="Cambria" w:hAnsi="Cambria"/>
          <w:sz w:val="28"/>
          <w:szCs w:val="28"/>
        </w:rPr>
        <w:t xml:space="preserve">Contraindication to Hiprex: </w:t>
      </w:r>
      <w:r w:rsidR="00BC115C" w:rsidRPr="00AB4AA1">
        <w:rPr>
          <w:rFonts w:ascii="Cambria" w:hAnsi="Cambria"/>
          <w:sz w:val="28"/>
          <w:szCs w:val="28"/>
        </w:rPr>
        <w:t>Severe renal or hepatic ins</w:t>
      </w:r>
      <w:r w:rsidR="00A45E98" w:rsidRPr="00AB4AA1">
        <w:rPr>
          <w:rFonts w:ascii="Cambria" w:hAnsi="Cambria"/>
          <w:sz w:val="28"/>
          <w:szCs w:val="28"/>
        </w:rPr>
        <w:t xml:space="preserve">ufficiency, </w:t>
      </w:r>
      <w:r w:rsidR="00BC115C" w:rsidRPr="00AB4AA1">
        <w:rPr>
          <w:rFonts w:ascii="Cambria" w:hAnsi="Cambria"/>
          <w:sz w:val="28"/>
          <w:szCs w:val="28"/>
        </w:rPr>
        <w:t>kn</w:t>
      </w:r>
      <w:r w:rsidR="00270DAF" w:rsidRPr="00AB4AA1">
        <w:rPr>
          <w:rFonts w:ascii="Cambria" w:hAnsi="Cambria"/>
          <w:sz w:val="28"/>
          <w:szCs w:val="28"/>
        </w:rPr>
        <w:t xml:space="preserve">ow allergy. </w:t>
      </w:r>
      <w:r w:rsidR="00270DAF" w:rsidRPr="00AB4AA1">
        <w:rPr>
          <w:sz w:val="28"/>
          <w:szCs w:val="28"/>
        </w:rPr>
        <w:t xml:space="preserve">Current use of sulphonamides e.g. </w:t>
      </w:r>
      <w:r w:rsidR="00270DAF" w:rsidRPr="00AB4AA1">
        <w:rPr>
          <w:rFonts w:cs="Times New Roman"/>
          <w:color w:val="000000"/>
          <w:sz w:val="28"/>
          <w:szCs w:val="28"/>
          <w:lang w:val="en-GB"/>
        </w:rPr>
        <w:t>sulfamethizole or sulfathiazole</w:t>
      </w:r>
    </w:p>
    <w:p w:rsidR="00B81E9F" w:rsidRPr="00AB4AA1" w:rsidRDefault="00270DAF" w:rsidP="00AB4AA1">
      <w:pPr>
        <w:pStyle w:val="ListParagraph"/>
        <w:widowControl w:val="0"/>
        <w:numPr>
          <w:ilvl w:val="0"/>
          <w:numId w:val="2"/>
        </w:numPr>
        <w:autoSpaceDE w:val="0"/>
        <w:autoSpaceDN w:val="0"/>
        <w:adjustRightInd w:val="0"/>
        <w:spacing w:after="240" w:line="360" w:lineRule="atLeast"/>
        <w:rPr>
          <w:rFonts w:ascii="Times" w:hAnsi="Times" w:cs="Times"/>
          <w:color w:val="000000"/>
          <w:lang w:val="en-GB"/>
        </w:rPr>
      </w:pPr>
      <w:r>
        <w:rPr>
          <w:rFonts w:ascii="Cambria" w:hAnsi="Cambria"/>
          <w:sz w:val="28"/>
          <w:szCs w:val="28"/>
        </w:rPr>
        <w:t>Contraindication to nitrofurantoin:</w:t>
      </w:r>
      <w:r>
        <w:rPr>
          <w:rFonts w:cs="Times New Roman"/>
          <w:color w:val="000000"/>
          <w:sz w:val="28"/>
          <w:szCs w:val="28"/>
          <w:lang w:val="en-GB"/>
        </w:rPr>
        <w:t xml:space="preserve"> </w:t>
      </w:r>
      <w:r w:rsidR="004E1B19">
        <w:rPr>
          <w:rFonts w:cs="Times New Roman"/>
          <w:color w:val="000000"/>
          <w:sz w:val="28"/>
          <w:szCs w:val="28"/>
          <w:lang w:val="en-GB"/>
        </w:rPr>
        <w:t xml:space="preserve">Known allergy to Nitrofurantoin, G6PD enzyme deficiency, active hepatitis, Jaundice, </w:t>
      </w:r>
      <w:r w:rsidR="00354861">
        <w:rPr>
          <w:rFonts w:cs="Times New Roman"/>
          <w:color w:val="000000"/>
          <w:sz w:val="28"/>
          <w:szCs w:val="28"/>
          <w:lang w:val="en-GB"/>
        </w:rPr>
        <w:t>interstitial pneumonitis</w:t>
      </w:r>
      <w:r w:rsidR="002840B0">
        <w:rPr>
          <w:rFonts w:cs="Times New Roman"/>
          <w:color w:val="000000"/>
          <w:sz w:val="28"/>
          <w:szCs w:val="28"/>
          <w:lang w:val="en-GB"/>
        </w:rPr>
        <w:t>, pulmonary fibrosis, severe renal insufficiency</w:t>
      </w:r>
      <w:r w:rsidR="004E1B19">
        <w:rPr>
          <w:rFonts w:cs="Times New Roman"/>
          <w:color w:val="000000"/>
          <w:sz w:val="28"/>
          <w:szCs w:val="28"/>
          <w:lang w:val="en-GB"/>
        </w:rPr>
        <w:t xml:space="preserve"> </w:t>
      </w:r>
      <w:r w:rsidRPr="00AB4AA1">
        <w:rPr>
          <w:rFonts w:cs="Times New Roman"/>
          <w:color w:val="000000"/>
          <w:sz w:val="28"/>
          <w:szCs w:val="28"/>
          <w:lang w:val="en-GB"/>
        </w:rPr>
        <w:t xml:space="preserve"> </w:t>
      </w:r>
    </w:p>
    <w:p w:rsidR="00F31D1C" w:rsidRDefault="00F31D1C" w:rsidP="00754C3C">
      <w:pPr>
        <w:pStyle w:val="ListParagraph"/>
        <w:numPr>
          <w:ilvl w:val="0"/>
          <w:numId w:val="2"/>
        </w:numPr>
        <w:rPr>
          <w:rFonts w:ascii="Cambria" w:hAnsi="Cambria"/>
          <w:sz w:val="28"/>
          <w:szCs w:val="28"/>
        </w:rPr>
      </w:pPr>
      <w:r>
        <w:rPr>
          <w:rFonts w:ascii="Cambria" w:hAnsi="Cambria"/>
          <w:sz w:val="28"/>
          <w:szCs w:val="28"/>
        </w:rPr>
        <w:t>Previously tried and failed Hiprex prophylaxis</w:t>
      </w:r>
    </w:p>
    <w:p w:rsidR="00754C3C" w:rsidRPr="006252B9" w:rsidRDefault="00754C3C" w:rsidP="00754C3C">
      <w:pPr>
        <w:pStyle w:val="ListParagraph"/>
        <w:numPr>
          <w:ilvl w:val="0"/>
          <w:numId w:val="2"/>
        </w:numPr>
        <w:rPr>
          <w:rFonts w:ascii="Cambria" w:hAnsi="Cambria"/>
          <w:sz w:val="28"/>
          <w:szCs w:val="28"/>
        </w:rPr>
      </w:pPr>
      <w:r w:rsidRPr="006252B9">
        <w:rPr>
          <w:rFonts w:ascii="Cambria" w:hAnsi="Cambria"/>
          <w:sz w:val="28"/>
          <w:szCs w:val="28"/>
        </w:rPr>
        <w:t>Pregnancy</w:t>
      </w:r>
      <w:r w:rsidR="002F35DA" w:rsidRPr="006252B9">
        <w:rPr>
          <w:rFonts w:ascii="Cambria" w:hAnsi="Cambria"/>
          <w:sz w:val="28"/>
          <w:szCs w:val="28"/>
        </w:rPr>
        <w:t>/Breastfeeding</w:t>
      </w:r>
    </w:p>
    <w:p w:rsidR="00754C3C" w:rsidRPr="006252B9" w:rsidRDefault="00754C3C" w:rsidP="00754C3C">
      <w:pPr>
        <w:pStyle w:val="ListParagraph"/>
        <w:numPr>
          <w:ilvl w:val="0"/>
          <w:numId w:val="2"/>
        </w:numPr>
        <w:rPr>
          <w:rFonts w:ascii="Cambria" w:hAnsi="Cambria"/>
          <w:sz w:val="28"/>
          <w:szCs w:val="28"/>
        </w:rPr>
      </w:pPr>
      <w:r w:rsidRPr="006252B9">
        <w:rPr>
          <w:rFonts w:ascii="Cambria" w:hAnsi="Cambria"/>
          <w:sz w:val="28"/>
          <w:szCs w:val="28"/>
        </w:rPr>
        <w:t>Underlying renal disease e.g. renal transplant, vesicoureteric reflux</w:t>
      </w:r>
    </w:p>
    <w:p w:rsidR="00A65FC2" w:rsidRPr="006252B9" w:rsidRDefault="00DD5B24" w:rsidP="00754C3C">
      <w:pPr>
        <w:pStyle w:val="ListParagraph"/>
        <w:numPr>
          <w:ilvl w:val="0"/>
          <w:numId w:val="2"/>
        </w:numPr>
        <w:rPr>
          <w:rFonts w:ascii="Cambria" w:hAnsi="Cambria"/>
          <w:sz w:val="28"/>
          <w:szCs w:val="28"/>
        </w:rPr>
      </w:pPr>
      <w:r w:rsidRPr="006252B9">
        <w:rPr>
          <w:rFonts w:ascii="Cambria" w:hAnsi="Cambria"/>
          <w:sz w:val="28"/>
          <w:szCs w:val="28"/>
        </w:rPr>
        <w:t>Urethral disorders e.g. stricture, diverticulum</w:t>
      </w:r>
    </w:p>
    <w:p w:rsidR="00DD5B24" w:rsidRPr="006252B9" w:rsidRDefault="00DD5B24" w:rsidP="00754C3C">
      <w:pPr>
        <w:pStyle w:val="ListParagraph"/>
        <w:numPr>
          <w:ilvl w:val="0"/>
          <w:numId w:val="2"/>
        </w:numPr>
        <w:rPr>
          <w:rFonts w:ascii="Cambria" w:hAnsi="Cambria"/>
          <w:sz w:val="28"/>
          <w:szCs w:val="28"/>
        </w:rPr>
      </w:pPr>
      <w:r w:rsidRPr="006252B9">
        <w:rPr>
          <w:rFonts w:ascii="Cambria" w:hAnsi="Cambria"/>
          <w:sz w:val="28"/>
          <w:szCs w:val="28"/>
        </w:rPr>
        <w:t>Bladder outlet obstruction</w:t>
      </w:r>
      <w:r w:rsidR="00CA02F9">
        <w:rPr>
          <w:rFonts w:ascii="Cambria" w:hAnsi="Cambria"/>
          <w:sz w:val="28"/>
          <w:szCs w:val="28"/>
        </w:rPr>
        <w:t xml:space="preserve"> e.g. </w:t>
      </w:r>
      <w:r w:rsidR="00B101EB">
        <w:rPr>
          <w:rFonts w:ascii="Cambria" w:hAnsi="Cambria"/>
          <w:sz w:val="28"/>
          <w:szCs w:val="28"/>
        </w:rPr>
        <w:t>stage 3 or 4 cystocele</w:t>
      </w:r>
    </w:p>
    <w:p w:rsidR="007D2778" w:rsidRPr="006252B9" w:rsidRDefault="007D2778" w:rsidP="00754C3C">
      <w:pPr>
        <w:pStyle w:val="ListParagraph"/>
        <w:numPr>
          <w:ilvl w:val="0"/>
          <w:numId w:val="2"/>
        </w:numPr>
        <w:rPr>
          <w:rFonts w:ascii="Cambria" w:hAnsi="Cambria"/>
          <w:sz w:val="28"/>
          <w:szCs w:val="28"/>
        </w:rPr>
      </w:pPr>
      <w:r w:rsidRPr="006252B9">
        <w:rPr>
          <w:rFonts w:ascii="Cambria" w:hAnsi="Cambria"/>
          <w:sz w:val="28"/>
          <w:szCs w:val="28"/>
        </w:rPr>
        <w:t>Presence of fistula</w:t>
      </w:r>
      <w:r w:rsidR="0058102F">
        <w:rPr>
          <w:rFonts w:ascii="Cambria" w:hAnsi="Cambria"/>
          <w:sz w:val="28"/>
          <w:szCs w:val="28"/>
        </w:rPr>
        <w:t xml:space="preserve"> e.g. vesicovaginal or rectovaginal</w:t>
      </w:r>
    </w:p>
    <w:p w:rsidR="007D2778" w:rsidRPr="006252B9" w:rsidRDefault="005A2711" w:rsidP="00754C3C">
      <w:pPr>
        <w:pStyle w:val="ListParagraph"/>
        <w:numPr>
          <w:ilvl w:val="0"/>
          <w:numId w:val="2"/>
        </w:numPr>
        <w:rPr>
          <w:rFonts w:ascii="Cambria" w:hAnsi="Cambria"/>
          <w:sz w:val="28"/>
          <w:szCs w:val="28"/>
        </w:rPr>
      </w:pPr>
      <w:r w:rsidRPr="006252B9">
        <w:rPr>
          <w:rFonts w:ascii="Cambria" w:hAnsi="Cambria"/>
          <w:sz w:val="28"/>
          <w:szCs w:val="28"/>
        </w:rPr>
        <w:t>Urolithiasis</w:t>
      </w:r>
    </w:p>
    <w:p w:rsidR="00632F03" w:rsidRPr="006252B9" w:rsidRDefault="0058102F" w:rsidP="00754C3C">
      <w:pPr>
        <w:pStyle w:val="ListParagraph"/>
        <w:numPr>
          <w:ilvl w:val="0"/>
          <w:numId w:val="2"/>
        </w:numPr>
        <w:rPr>
          <w:rFonts w:ascii="Cambria" w:hAnsi="Cambria"/>
          <w:sz w:val="28"/>
          <w:szCs w:val="28"/>
        </w:rPr>
      </w:pPr>
      <w:r>
        <w:rPr>
          <w:rFonts w:ascii="Cambria" w:hAnsi="Cambria"/>
          <w:sz w:val="28"/>
          <w:szCs w:val="28"/>
        </w:rPr>
        <w:t>Currently</w:t>
      </w:r>
      <w:r w:rsidR="00632F03" w:rsidRPr="006252B9">
        <w:rPr>
          <w:rFonts w:ascii="Cambria" w:hAnsi="Cambria"/>
          <w:sz w:val="28"/>
          <w:szCs w:val="28"/>
        </w:rPr>
        <w:t xml:space="preserve"> on prophylaxis or recent history of prophylaxis in last 3 months</w:t>
      </w:r>
    </w:p>
    <w:p w:rsidR="00D31D86" w:rsidRDefault="00D31D86" w:rsidP="00754C3C">
      <w:pPr>
        <w:pStyle w:val="ListParagraph"/>
        <w:numPr>
          <w:ilvl w:val="0"/>
          <w:numId w:val="2"/>
        </w:numPr>
        <w:rPr>
          <w:rFonts w:ascii="Cambria" w:hAnsi="Cambria"/>
          <w:sz w:val="28"/>
          <w:szCs w:val="28"/>
        </w:rPr>
      </w:pPr>
      <w:r>
        <w:rPr>
          <w:rFonts w:ascii="Cambria" w:hAnsi="Cambria"/>
          <w:sz w:val="28"/>
          <w:szCs w:val="28"/>
        </w:rPr>
        <w:t>Permanent urinary indwelling catheter</w:t>
      </w:r>
    </w:p>
    <w:p w:rsidR="00DE773E" w:rsidRDefault="00D31D86" w:rsidP="00754C3C">
      <w:pPr>
        <w:pStyle w:val="ListParagraph"/>
        <w:numPr>
          <w:ilvl w:val="0"/>
          <w:numId w:val="2"/>
        </w:numPr>
        <w:rPr>
          <w:rFonts w:ascii="Cambria" w:hAnsi="Cambria"/>
          <w:sz w:val="28"/>
          <w:szCs w:val="28"/>
        </w:rPr>
      </w:pPr>
      <w:r>
        <w:rPr>
          <w:rFonts w:ascii="Cambria" w:hAnsi="Cambria"/>
          <w:sz w:val="28"/>
          <w:szCs w:val="28"/>
        </w:rPr>
        <w:t>Poorly controlled diabetes mellitus</w:t>
      </w:r>
    </w:p>
    <w:p w:rsidR="00DE0BD6" w:rsidRPr="00DE773E" w:rsidRDefault="00DE0BD6" w:rsidP="00DE773E">
      <w:pPr>
        <w:pStyle w:val="ListParagraph"/>
        <w:numPr>
          <w:ilvl w:val="0"/>
          <w:numId w:val="2"/>
        </w:numPr>
        <w:rPr>
          <w:rFonts w:ascii="Cambria" w:hAnsi="Cambria"/>
          <w:sz w:val="28"/>
          <w:szCs w:val="28"/>
        </w:rPr>
      </w:pPr>
      <w:r w:rsidRPr="00DE773E">
        <w:rPr>
          <w:rFonts w:ascii="Cambria" w:hAnsi="Cambria"/>
          <w:sz w:val="28"/>
          <w:szCs w:val="28"/>
        </w:rPr>
        <w:t>Immunosuppressive treatments</w:t>
      </w:r>
    </w:p>
    <w:p w:rsidR="00AB4AA1" w:rsidRDefault="00AB4AA1" w:rsidP="005A2711">
      <w:pPr>
        <w:rPr>
          <w:rFonts w:ascii="Cambria" w:hAnsi="Cambria"/>
          <w:sz w:val="28"/>
          <w:szCs w:val="28"/>
        </w:rPr>
      </w:pPr>
    </w:p>
    <w:p w:rsidR="005A2711" w:rsidRPr="006252B9" w:rsidRDefault="005A2711" w:rsidP="005A2711">
      <w:pPr>
        <w:rPr>
          <w:rFonts w:ascii="Cambria" w:hAnsi="Cambria"/>
          <w:sz w:val="28"/>
          <w:szCs w:val="28"/>
        </w:rPr>
      </w:pPr>
      <w:r w:rsidRPr="006252B9">
        <w:rPr>
          <w:rFonts w:ascii="Cambria" w:hAnsi="Cambria"/>
          <w:sz w:val="28"/>
          <w:szCs w:val="28"/>
        </w:rPr>
        <w:t>Outcomes:</w:t>
      </w:r>
    </w:p>
    <w:p w:rsidR="005A2711" w:rsidRPr="006252B9" w:rsidRDefault="005A2711" w:rsidP="005A2711">
      <w:pPr>
        <w:pStyle w:val="ListParagraph"/>
        <w:numPr>
          <w:ilvl w:val="0"/>
          <w:numId w:val="3"/>
        </w:numPr>
        <w:rPr>
          <w:rFonts w:ascii="Cambria" w:hAnsi="Cambria"/>
          <w:sz w:val="28"/>
          <w:szCs w:val="28"/>
        </w:rPr>
      </w:pPr>
      <w:r w:rsidRPr="006252B9">
        <w:rPr>
          <w:rFonts w:ascii="Cambria" w:hAnsi="Cambria"/>
          <w:sz w:val="28"/>
          <w:szCs w:val="28"/>
        </w:rPr>
        <w:t>Primary outcome:</w:t>
      </w:r>
    </w:p>
    <w:p w:rsidR="005A2711" w:rsidRPr="006252B9" w:rsidRDefault="00CD5D9A" w:rsidP="00D54E19">
      <w:pPr>
        <w:pStyle w:val="ListParagraph"/>
        <w:numPr>
          <w:ilvl w:val="1"/>
          <w:numId w:val="3"/>
        </w:numPr>
        <w:rPr>
          <w:rFonts w:ascii="Cambria" w:hAnsi="Cambria"/>
          <w:sz w:val="28"/>
          <w:szCs w:val="28"/>
        </w:rPr>
      </w:pPr>
      <w:r>
        <w:rPr>
          <w:rFonts w:ascii="Cambria" w:hAnsi="Cambria"/>
          <w:sz w:val="28"/>
          <w:szCs w:val="28"/>
        </w:rPr>
        <w:t>Recurrence of UTI in the 6 mon</w:t>
      </w:r>
      <w:bookmarkStart w:id="0" w:name="_GoBack"/>
      <w:bookmarkEnd w:id="0"/>
      <w:r>
        <w:rPr>
          <w:rFonts w:ascii="Cambria" w:hAnsi="Cambria"/>
          <w:sz w:val="28"/>
          <w:szCs w:val="28"/>
        </w:rPr>
        <w:t>ths duration of trial</w:t>
      </w:r>
    </w:p>
    <w:p w:rsidR="005A2711" w:rsidRPr="006252B9" w:rsidRDefault="005A2711" w:rsidP="005A2711">
      <w:pPr>
        <w:pStyle w:val="ListParagraph"/>
        <w:numPr>
          <w:ilvl w:val="0"/>
          <w:numId w:val="3"/>
        </w:numPr>
        <w:rPr>
          <w:rFonts w:ascii="Cambria" w:hAnsi="Cambria"/>
          <w:sz w:val="28"/>
          <w:szCs w:val="28"/>
        </w:rPr>
      </w:pPr>
      <w:r w:rsidRPr="006252B9">
        <w:rPr>
          <w:rFonts w:ascii="Cambria" w:hAnsi="Cambria"/>
          <w:sz w:val="28"/>
          <w:szCs w:val="28"/>
        </w:rPr>
        <w:t>Secondary outcomes:</w:t>
      </w:r>
    </w:p>
    <w:p w:rsidR="005A2711" w:rsidRDefault="00CD5D9A" w:rsidP="00D54E19">
      <w:pPr>
        <w:pStyle w:val="ListParagraph"/>
        <w:numPr>
          <w:ilvl w:val="1"/>
          <w:numId w:val="3"/>
        </w:numPr>
        <w:rPr>
          <w:rFonts w:ascii="Cambria" w:hAnsi="Cambria"/>
          <w:sz w:val="28"/>
          <w:szCs w:val="28"/>
        </w:rPr>
      </w:pPr>
      <w:r>
        <w:rPr>
          <w:rFonts w:ascii="Cambria" w:hAnsi="Cambria"/>
          <w:sz w:val="28"/>
          <w:szCs w:val="28"/>
        </w:rPr>
        <w:t>Number of UTIs in 6 months of trial</w:t>
      </w:r>
    </w:p>
    <w:p w:rsidR="00CD5D9A" w:rsidRPr="006252B9" w:rsidRDefault="00CD5D9A" w:rsidP="00D54E19">
      <w:pPr>
        <w:pStyle w:val="ListParagraph"/>
        <w:numPr>
          <w:ilvl w:val="1"/>
          <w:numId w:val="3"/>
        </w:numPr>
        <w:rPr>
          <w:rFonts w:ascii="Cambria" w:hAnsi="Cambria"/>
          <w:sz w:val="28"/>
          <w:szCs w:val="28"/>
        </w:rPr>
      </w:pPr>
      <w:r>
        <w:rPr>
          <w:rFonts w:ascii="Cambria" w:hAnsi="Cambria"/>
          <w:sz w:val="28"/>
          <w:szCs w:val="28"/>
        </w:rPr>
        <w:t>Time to first UTI</w:t>
      </w:r>
    </w:p>
    <w:p w:rsidR="00D54E19" w:rsidRDefault="009D4857" w:rsidP="00CD5D9A">
      <w:pPr>
        <w:pStyle w:val="ListParagraph"/>
        <w:numPr>
          <w:ilvl w:val="1"/>
          <w:numId w:val="3"/>
        </w:numPr>
        <w:rPr>
          <w:rFonts w:ascii="Cambria" w:hAnsi="Cambria"/>
          <w:sz w:val="28"/>
          <w:szCs w:val="28"/>
        </w:rPr>
      </w:pPr>
      <w:r w:rsidRPr="006252B9">
        <w:rPr>
          <w:rFonts w:ascii="Cambria" w:hAnsi="Cambria"/>
          <w:sz w:val="28"/>
          <w:szCs w:val="28"/>
        </w:rPr>
        <w:t>Adverse events and side effects</w:t>
      </w:r>
    </w:p>
    <w:p w:rsidR="008F724A" w:rsidRPr="00CD5D9A" w:rsidRDefault="008F724A" w:rsidP="00CD5D9A">
      <w:pPr>
        <w:pStyle w:val="ListParagraph"/>
        <w:numPr>
          <w:ilvl w:val="1"/>
          <w:numId w:val="3"/>
        </w:numPr>
        <w:rPr>
          <w:rFonts w:ascii="Cambria" w:hAnsi="Cambria"/>
          <w:sz w:val="28"/>
          <w:szCs w:val="28"/>
        </w:rPr>
      </w:pPr>
      <w:r>
        <w:rPr>
          <w:rFonts w:ascii="Cambria" w:hAnsi="Cambria"/>
          <w:sz w:val="28"/>
          <w:szCs w:val="28"/>
        </w:rPr>
        <w:t>Cost of treatment</w:t>
      </w:r>
    </w:p>
    <w:p w:rsidR="003F29FB" w:rsidRPr="006252B9" w:rsidRDefault="003F29FB" w:rsidP="0053313E">
      <w:pPr>
        <w:rPr>
          <w:rFonts w:ascii="Cambria" w:hAnsi="Cambria"/>
          <w:b/>
          <w:bCs/>
          <w:sz w:val="28"/>
          <w:szCs w:val="28"/>
        </w:rPr>
      </w:pPr>
      <w:r w:rsidRPr="006252B9">
        <w:rPr>
          <w:rFonts w:ascii="Cambria" w:hAnsi="Cambria"/>
          <w:b/>
          <w:bCs/>
          <w:sz w:val="28"/>
          <w:szCs w:val="28"/>
        </w:rPr>
        <w:t>Recruitment and quality control:</w:t>
      </w:r>
    </w:p>
    <w:p w:rsidR="0053313E" w:rsidRPr="006252B9" w:rsidRDefault="0053313E" w:rsidP="00EA411A">
      <w:pPr>
        <w:rPr>
          <w:rFonts w:ascii="Cambria" w:hAnsi="Cambria"/>
          <w:sz w:val="28"/>
          <w:szCs w:val="28"/>
        </w:rPr>
      </w:pPr>
      <w:r w:rsidRPr="006252B9">
        <w:rPr>
          <w:rFonts w:ascii="Cambria" w:hAnsi="Cambria"/>
          <w:sz w:val="28"/>
          <w:szCs w:val="28"/>
        </w:rPr>
        <w:t xml:space="preserve">Patients at time of recruitment will have a midstream urine sample to </w:t>
      </w:r>
      <w:r w:rsidR="00E80BFC">
        <w:rPr>
          <w:rFonts w:ascii="Cambria" w:hAnsi="Cambria"/>
          <w:sz w:val="28"/>
          <w:szCs w:val="28"/>
        </w:rPr>
        <w:t>assess for current UTI or bacteriuria</w:t>
      </w:r>
      <w:r w:rsidRPr="006252B9">
        <w:rPr>
          <w:rFonts w:ascii="Cambria" w:hAnsi="Cambria"/>
          <w:sz w:val="28"/>
          <w:szCs w:val="28"/>
        </w:rPr>
        <w:t xml:space="preserve">. If there was evidence of </w:t>
      </w:r>
      <w:r w:rsidR="003F29FB" w:rsidRPr="006252B9">
        <w:rPr>
          <w:rFonts w:ascii="Cambria" w:hAnsi="Cambria"/>
          <w:sz w:val="28"/>
          <w:szCs w:val="28"/>
        </w:rPr>
        <w:t xml:space="preserve">a </w:t>
      </w:r>
      <w:r w:rsidRPr="006252B9">
        <w:rPr>
          <w:rFonts w:ascii="Cambria" w:hAnsi="Cambria"/>
          <w:sz w:val="28"/>
          <w:szCs w:val="28"/>
        </w:rPr>
        <w:t>current infection they will be treated based o</w:t>
      </w:r>
      <w:r w:rsidR="00FA7426">
        <w:rPr>
          <w:rFonts w:ascii="Cambria" w:hAnsi="Cambria"/>
          <w:sz w:val="28"/>
          <w:szCs w:val="28"/>
        </w:rPr>
        <w:t>n the culture and sensitivity results with</w:t>
      </w:r>
      <w:r w:rsidRPr="006252B9">
        <w:rPr>
          <w:rFonts w:ascii="Cambria" w:hAnsi="Cambria"/>
          <w:sz w:val="28"/>
          <w:szCs w:val="28"/>
        </w:rPr>
        <w:t xml:space="preserve"> appropriate antibiotics. A repeat urine sample will be collected at the end of the treatment course to confirm resolution of the UTI.</w:t>
      </w:r>
      <w:r w:rsidR="00793512" w:rsidRPr="006252B9">
        <w:rPr>
          <w:rFonts w:ascii="Cambria" w:hAnsi="Cambria"/>
          <w:sz w:val="28"/>
          <w:szCs w:val="28"/>
        </w:rPr>
        <w:t xml:space="preserve"> Furthermore, a renal tract ultrasound will be arranged for these patients (if already not pe</w:t>
      </w:r>
      <w:r w:rsidR="00AD057B">
        <w:rPr>
          <w:rFonts w:ascii="Cambria" w:hAnsi="Cambria"/>
          <w:sz w:val="28"/>
          <w:szCs w:val="28"/>
        </w:rPr>
        <w:t>r</w:t>
      </w:r>
      <w:r w:rsidR="00793512" w:rsidRPr="006252B9">
        <w:rPr>
          <w:rFonts w:ascii="Cambria" w:hAnsi="Cambria"/>
          <w:sz w:val="28"/>
          <w:szCs w:val="28"/>
        </w:rPr>
        <w:t>formed) to exclude underlying renal tract abnormalities</w:t>
      </w:r>
      <w:r w:rsidR="00E77F4F">
        <w:rPr>
          <w:rFonts w:ascii="Cambria" w:hAnsi="Cambria"/>
          <w:sz w:val="28"/>
          <w:szCs w:val="28"/>
        </w:rPr>
        <w:t xml:space="preserve"> and assessment of bladder emptying</w:t>
      </w:r>
      <w:r w:rsidR="000C0114">
        <w:rPr>
          <w:rFonts w:ascii="Cambria" w:hAnsi="Cambria"/>
          <w:sz w:val="28"/>
          <w:szCs w:val="28"/>
        </w:rPr>
        <w:t xml:space="preserve">. On this </w:t>
      </w:r>
      <w:r w:rsidR="00652867">
        <w:rPr>
          <w:rFonts w:ascii="Cambria" w:hAnsi="Cambria"/>
          <w:sz w:val="28"/>
          <w:szCs w:val="28"/>
        </w:rPr>
        <w:t>ultrasound,</w:t>
      </w:r>
      <w:r w:rsidR="000C0114">
        <w:rPr>
          <w:rFonts w:ascii="Cambria" w:hAnsi="Cambria"/>
          <w:sz w:val="28"/>
          <w:szCs w:val="28"/>
        </w:rPr>
        <w:t xml:space="preserve"> a pre- and post-void bladder volume will be </w:t>
      </w:r>
      <w:r w:rsidR="00EA411A">
        <w:rPr>
          <w:rFonts w:ascii="Cambria" w:hAnsi="Cambria"/>
          <w:sz w:val="28"/>
          <w:szCs w:val="28"/>
        </w:rPr>
        <w:t>measured</w:t>
      </w:r>
      <w:r w:rsidR="00793512" w:rsidRPr="006252B9">
        <w:rPr>
          <w:rFonts w:ascii="Cambria" w:hAnsi="Cambria"/>
          <w:sz w:val="28"/>
          <w:szCs w:val="28"/>
        </w:rPr>
        <w:t>. Abdominal and pelvic examination including a vaginal speculum examination will be performed to rule out any fistula, urethral abnormalities and pelvic organ prolapse.</w:t>
      </w:r>
      <w:r w:rsidR="00F80022">
        <w:rPr>
          <w:rFonts w:ascii="Cambria" w:hAnsi="Cambria"/>
          <w:sz w:val="28"/>
          <w:szCs w:val="28"/>
        </w:rPr>
        <w:t xml:space="preserve"> All patients will have a blood test to assess </w:t>
      </w:r>
      <w:r w:rsidR="00EA411A">
        <w:rPr>
          <w:rFonts w:ascii="Cambria" w:hAnsi="Cambria"/>
          <w:sz w:val="28"/>
          <w:szCs w:val="28"/>
        </w:rPr>
        <w:t xml:space="preserve">liver function and </w:t>
      </w:r>
      <w:r w:rsidR="00F80022">
        <w:rPr>
          <w:rFonts w:ascii="Cambria" w:hAnsi="Cambria"/>
          <w:sz w:val="28"/>
          <w:szCs w:val="28"/>
        </w:rPr>
        <w:t xml:space="preserve">renal function </w:t>
      </w:r>
      <w:r w:rsidR="00EA411A">
        <w:rPr>
          <w:rFonts w:ascii="Cambria" w:hAnsi="Cambria"/>
          <w:sz w:val="28"/>
          <w:szCs w:val="28"/>
        </w:rPr>
        <w:t xml:space="preserve">and a </w:t>
      </w:r>
      <w:r w:rsidR="00F80022">
        <w:rPr>
          <w:rFonts w:ascii="Cambria" w:hAnsi="Cambria"/>
          <w:sz w:val="28"/>
          <w:szCs w:val="28"/>
        </w:rPr>
        <w:t xml:space="preserve"> urine cytology to investigate atypical/malignant urothelial cells. In those with positive findings of abnormal cells</w:t>
      </w:r>
      <w:r w:rsidR="00AD057B">
        <w:rPr>
          <w:rFonts w:ascii="Cambria" w:hAnsi="Cambria"/>
          <w:sz w:val="28"/>
          <w:szCs w:val="28"/>
        </w:rPr>
        <w:t xml:space="preserve"> or haematuria</w:t>
      </w:r>
      <w:r w:rsidR="00F80022">
        <w:rPr>
          <w:rFonts w:ascii="Cambria" w:hAnsi="Cambria"/>
          <w:sz w:val="28"/>
          <w:szCs w:val="28"/>
        </w:rPr>
        <w:t xml:space="preserve"> in the urine specimen a cystoscopic examination will be performed</w:t>
      </w:r>
      <w:r w:rsidR="000B57BA">
        <w:rPr>
          <w:rFonts w:ascii="Cambria" w:hAnsi="Cambria"/>
          <w:sz w:val="28"/>
          <w:szCs w:val="28"/>
        </w:rPr>
        <w:t xml:space="preserve"> as well as a bladder biopsy if indicated. </w:t>
      </w:r>
      <w:r w:rsidR="00FB6C40">
        <w:rPr>
          <w:rFonts w:ascii="Cambria" w:hAnsi="Cambria"/>
          <w:sz w:val="28"/>
          <w:szCs w:val="28"/>
        </w:rPr>
        <w:t xml:space="preserve">Abnormal results will be </w:t>
      </w:r>
      <w:r w:rsidR="009D3AD0">
        <w:rPr>
          <w:rFonts w:ascii="Cambria" w:hAnsi="Cambria"/>
          <w:sz w:val="28"/>
          <w:szCs w:val="28"/>
        </w:rPr>
        <w:t xml:space="preserve">managed </w:t>
      </w:r>
      <w:r w:rsidR="00FB6C40">
        <w:rPr>
          <w:rFonts w:ascii="Cambria" w:hAnsi="Cambria"/>
          <w:sz w:val="28"/>
          <w:szCs w:val="28"/>
        </w:rPr>
        <w:t xml:space="preserve">in accordance </w:t>
      </w:r>
      <w:r w:rsidR="009D3AD0">
        <w:rPr>
          <w:rFonts w:ascii="Cambria" w:hAnsi="Cambria"/>
          <w:sz w:val="28"/>
          <w:szCs w:val="28"/>
        </w:rPr>
        <w:t>with</w:t>
      </w:r>
      <w:r w:rsidR="00FB6C40">
        <w:rPr>
          <w:rFonts w:ascii="Cambria" w:hAnsi="Cambria"/>
          <w:sz w:val="28"/>
          <w:szCs w:val="28"/>
        </w:rPr>
        <w:t xml:space="preserve"> the unit’s policy.</w:t>
      </w:r>
      <w:r w:rsidR="001D37A1">
        <w:rPr>
          <w:rFonts w:ascii="Cambria" w:hAnsi="Cambria"/>
          <w:sz w:val="28"/>
          <w:szCs w:val="28"/>
        </w:rPr>
        <w:t xml:space="preserve"> All pre-menopausal participants will need a negative urine pregnancy test at the time of recruitment.</w:t>
      </w:r>
    </w:p>
    <w:p w:rsidR="000B57BA" w:rsidRDefault="00F61AEA" w:rsidP="00E20BB0">
      <w:pPr>
        <w:rPr>
          <w:rFonts w:ascii="Cambria" w:hAnsi="Cambria"/>
          <w:sz w:val="28"/>
          <w:szCs w:val="28"/>
        </w:rPr>
      </w:pPr>
      <w:r w:rsidRPr="006252B9">
        <w:rPr>
          <w:rFonts w:ascii="Cambria" w:hAnsi="Cambria"/>
          <w:sz w:val="28"/>
          <w:szCs w:val="28"/>
        </w:rPr>
        <w:t xml:space="preserve">Once </w:t>
      </w:r>
      <w:r w:rsidR="003F29FB" w:rsidRPr="006252B9">
        <w:rPr>
          <w:rFonts w:ascii="Cambria" w:hAnsi="Cambria"/>
          <w:sz w:val="28"/>
          <w:szCs w:val="28"/>
        </w:rPr>
        <w:t xml:space="preserve">inclusion and exclusion criteria </w:t>
      </w:r>
      <w:r w:rsidR="009D3AD0">
        <w:rPr>
          <w:rFonts w:ascii="Cambria" w:hAnsi="Cambria"/>
          <w:sz w:val="28"/>
          <w:szCs w:val="28"/>
        </w:rPr>
        <w:t xml:space="preserve">are </w:t>
      </w:r>
      <w:r w:rsidR="003F29FB" w:rsidRPr="006252B9">
        <w:rPr>
          <w:rFonts w:ascii="Cambria" w:hAnsi="Cambria"/>
          <w:sz w:val="28"/>
          <w:szCs w:val="28"/>
        </w:rPr>
        <w:t>applied</w:t>
      </w:r>
      <w:r w:rsidR="009D3AD0">
        <w:rPr>
          <w:rFonts w:ascii="Cambria" w:hAnsi="Cambria"/>
          <w:sz w:val="28"/>
          <w:szCs w:val="28"/>
        </w:rPr>
        <w:t xml:space="preserve">, </w:t>
      </w:r>
      <w:r w:rsidR="00E20BB0">
        <w:rPr>
          <w:rFonts w:ascii="Cambria" w:hAnsi="Cambria"/>
          <w:sz w:val="28"/>
          <w:szCs w:val="28"/>
        </w:rPr>
        <w:t>p</w:t>
      </w:r>
      <w:r w:rsidRPr="006252B9">
        <w:rPr>
          <w:rFonts w:ascii="Cambria" w:hAnsi="Cambria"/>
          <w:sz w:val="28"/>
          <w:szCs w:val="28"/>
        </w:rPr>
        <w:t xml:space="preserve">atients will be randomly assigned to either </w:t>
      </w:r>
      <w:r w:rsidR="003F29FB" w:rsidRPr="006252B9">
        <w:rPr>
          <w:rFonts w:ascii="Cambria" w:hAnsi="Cambria"/>
          <w:sz w:val="28"/>
          <w:szCs w:val="28"/>
        </w:rPr>
        <w:t xml:space="preserve">Hiprex </w:t>
      </w:r>
      <w:r w:rsidR="009D3AD0">
        <w:rPr>
          <w:rFonts w:ascii="Cambria" w:hAnsi="Cambria"/>
          <w:sz w:val="28"/>
          <w:szCs w:val="28"/>
        </w:rPr>
        <w:t xml:space="preserve">and Vitamin C </w:t>
      </w:r>
      <w:r w:rsidR="003F29FB" w:rsidRPr="006252B9">
        <w:rPr>
          <w:rFonts w:ascii="Cambria" w:hAnsi="Cambria"/>
          <w:sz w:val="28"/>
          <w:szCs w:val="28"/>
        </w:rPr>
        <w:t xml:space="preserve">or </w:t>
      </w:r>
      <w:r w:rsidR="003F29FB" w:rsidRPr="006252B9">
        <w:rPr>
          <w:rFonts w:ascii="Cambria" w:hAnsi="Cambria"/>
          <w:color w:val="000000" w:themeColor="text1"/>
          <w:sz w:val="28"/>
          <w:szCs w:val="28"/>
        </w:rPr>
        <w:t>oral antibiotic</w:t>
      </w:r>
      <w:r w:rsidR="003F29FB" w:rsidRPr="006252B9">
        <w:rPr>
          <w:rFonts w:ascii="Cambria" w:hAnsi="Cambria"/>
          <w:sz w:val="28"/>
          <w:szCs w:val="28"/>
        </w:rPr>
        <w:t xml:space="preserve"> </w:t>
      </w:r>
      <w:r w:rsidRPr="006252B9">
        <w:rPr>
          <w:rFonts w:ascii="Cambria" w:hAnsi="Cambria"/>
          <w:sz w:val="28"/>
          <w:szCs w:val="28"/>
        </w:rPr>
        <w:t xml:space="preserve">groups. </w:t>
      </w:r>
      <w:r w:rsidR="000B57BA">
        <w:rPr>
          <w:rFonts w:ascii="Cambria" w:hAnsi="Cambria"/>
          <w:sz w:val="28"/>
          <w:szCs w:val="28"/>
        </w:rPr>
        <w:t>All patients will complete a questionnaire of socio-demographic status and background medical and surgical profile.</w:t>
      </w:r>
    </w:p>
    <w:p w:rsidR="0053313E" w:rsidRPr="006252B9" w:rsidRDefault="00F61AEA" w:rsidP="00652867">
      <w:pPr>
        <w:rPr>
          <w:rFonts w:ascii="Cambria" w:hAnsi="Cambria"/>
          <w:sz w:val="28"/>
          <w:szCs w:val="28"/>
        </w:rPr>
      </w:pPr>
      <w:r w:rsidRPr="006252B9">
        <w:rPr>
          <w:rFonts w:ascii="Cambria" w:hAnsi="Cambria"/>
          <w:sz w:val="28"/>
          <w:szCs w:val="28"/>
        </w:rPr>
        <w:t>Allocation will be</w:t>
      </w:r>
      <w:r w:rsidR="00652867">
        <w:rPr>
          <w:rFonts w:ascii="Cambria" w:hAnsi="Cambria"/>
          <w:sz w:val="28"/>
          <w:szCs w:val="28"/>
        </w:rPr>
        <w:t xml:space="preserve"> in order of block randomisation using a</w:t>
      </w:r>
      <w:r w:rsidRPr="006252B9">
        <w:rPr>
          <w:rFonts w:ascii="Cambria" w:hAnsi="Cambria"/>
          <w:sz w:val="28"/>
          <w:szCs w:val="28"/>
        </w:rPr>
        <w:t xml:space="preserve"> </w:t>
      </w:r>
      <w:r w:rsidR="002F6992">
        <w:rPr>
          <w:rFonts w:ascii="Cambria" w:hAnsi="Cambria"/>
          <w:sz w:val="28"/>
          <w:szCs w:val="28"/>
        </w:rPr>
        <w:t xml:space="preserve">block </w:t>
      </w:r>
      <w:r w:rsidRPr="00652867">
        <w:rPr>
          <w:rFonts w:ascii="Cambria" w:hAnsi="Cambria"/>
          <w:color w:val="000000" w:themeColor="text1"/>
          <w:sz w:val="28"/>
          <w:szCs w:val="28"/>
        </w:rPr>
        <w:t>random sequence generator</w:t>
      </w:r>
      <w:r w:rsidR="00676283" w:rsidRPr="00652867">
        <w:rPr>
          <w:rFonts w:ascii="Cambria" w:hAnsi="Cambria"/>
          <w:color w:val="000000" w:themeColor="text1"/>
          <w:sz w:val="28"/>
          <w:szCs w:val="28"/>
        </w:rPr>
        <w:t>.</w:t>
      </w:r>
      <w:r w:rsidR="000F58B0">
        <w:rPr>
          <w:rFonts w:ascii="Cambria" w:hAnsi="Cambria"/>
          <w:color w:val="000000" w:themeColor="text1"/>
          <w:sz w:val="28"/>
          <w:szCs w:val="28"/>
        </w:rPr>
        <w:t xml:space="preserve"> We will use randomisation in permuted blocks to achieve balance in each arm. The block</w:t>
      </w:r>
      <w:r w:rsidR="00940BC6">
        <w:rPr>
          <w:rFonts w:ascii="Cambria" w:hAnsi="Cambria"/>
          <w:color w:val="000000" w:themeColor="text1"/>
          <w:sz w:val="28"/>
          <w:szCs w:val="28"/>
        </w:rPr>
        <w:t>s will be in varying sizes of 6,8 and 10.</w:t>
      </w:r>
    </w:p>
    <w:p w:rsidR="00F61AEA" w:rsidRPr="006252B9" w:rsidRDefault="00F61AEA" w:rsidP="00652867">
      <w:pPr>
        <w:rPr>
          <w:rFonts w:ascii="Cambria" w:hAnsi="Cambria"/>
          <w:sz w:val="28"/>
          <w:szCs w:val="28"/>
        </w:rPr>
      </w:pPr>
      <w:r w:rsidRPr="006252B9">
        <w:rPr>
          <w:rFonts w:ascii="Cambria" w:hAnsi="Cambria"/>
          <w:sz w:val="28"/>
          <w:szCs w:val="28"/>
        </w:rPr>
        <w:t xml:space="preserve">Patients in the </w:t>
      </w:r>
      <w:r w:rsidR="003F29FB" w:rsidRPr="006252B9">
        <w:rPr>
          <w:rFonts w:ascii="Cambria" w:hAnsi="Cambria"/>
          <w:sz w:val="28"/>
          <w:szCs w:val="28"/>
        </w:rPr>
        <w:t xml:space="preserve">oral antibiotic arm </w:t>
      </w:r>
      <w:r w:rsidR="00652867">
        <w:rPr>
          <w:rFonts w:ascii="Cambria" w:hAnsi="Cambria"/>
          <w:sz w:val="28"/>
          <w:szCs w:val="28"/>
        </w:rPr>
        <w:t>(antibiotic</w:t>
      </w:r>
      <w:r w:rsidR="00B86C8D">
        <w:rPr>
          <w:rFonts w:ascii="Cambria" w:hAnsi="Cambria"/>
          <w:sz w:val="28"/>
          <w:szCs w:val="28"/>
        </w:rPr>
        <w:t xml:space="preserve"> group) </w:t>
      </w:r>
      <w:r w:rsidR="003F29FB" w:rsidRPr="006252B9">
        <w:rPr>
          <w:rFonts w:ascii="Cambria" w:hAnsi="Cambria"/>
          <w:sz w:val="28"/>
          <w:szCs w:val="28"/>
        </w:rPr>
        <w:t>will receive Nitrofurantoin</w:t>
      </w:r>
      <w:r w:rsidR="00E20BB0">
        <w:rPr>
          <w:rFonts w:ascii="Cambria" w:hAnsi="Cambria"/>
          <w:sz w:val="28"/>
          <w:szCs w:val="28"/>
        </w:rPr>
        <w:t xml:space="preserve"> 100</w:t>
      </w:r>
      <w:r w:rsidR="003F29FB" w:rsidRPr="006252B9">
        <w:rPr>
          <w:rFonts w:ascii="Cambria" w:hAnsi="Cambria"/>
          <w:sz w:val="28"/>
          <w:szCs w:val="28"/>
        </w:rPr>
        <w:t xml:space="preserve"> mg </w:t>
      </w:r>
      <w:r w:rsidR="00993606" w:rsidRPr="006252B9">
        <w:rPr>
          <w:rFonts w:ascii="Cambria" w:hAnsi="Cambria"/>
          <w:sz w:val="28"/>
          <w:szCs w:val="28"/>
        </w:rPr>
        <w:t>capsules</w:t>
      </w:r>
      <w:r w:rsidR="00E20BB0">
        <w:rPr>
          <w:rFonts w:ascii="Cambria" w:hAnsi="Cambria"/>
          <w:sz w:val="28"/>
          <w:szCs w:val="28"/>
        </w:rPr>
        <w:t xml:space="preserve"> </w:t>
      </w:r>
      <w:r w:rsidR="00E20BB0" w:rsidRPr="00DE773E">
        <w:rPr>
          <w:rFonts w:ascii="Cambria" w:hAnsi="Cambria"/>
          <w:color w:val="000000" w:themeColor="text1"/>
          <w:sz w:val="28"/>
          <w:szCs w:val="28"/>
        </w:rPr>
        <w:t>daily</w:t>
      </w:r>
      <w:r w:rsidRPr="00DE773E">
        <w:rPr>
          <w:rFonts w:ascii="Cambria" w:hAnsi="Cambria"/>
          <w:color w:val="000000" w:themeColor="text1"/>
          <w:sz w:val="28"/>
          <w:szCs w:val="28"/>
        </w:rPr>
        <w:t xml:space="preserve"> </w:t>
      </w:r>
      <w:r w:rsidR="00AD057B" w:rsidRPr="00DE773E">
        <w:rPr>
          <w:rFonts w:ascii="Cambria" w:hAnsi="Cambria"/>
          <w:color w:val="000000" w:themeColor="text1"/>
          <w:sz w:val="28"/>
          <w:szCs w:val="28"/>
        </w:rPr>
        <w:t xml:space="preserve">(50mg daily if renal impairment) </w:t>
      </w:r>
      <w:r w:rsidRPr="00DE773E">
        <w:rPr>
          <w:rFonts w:ascii="Cambria" w:hAnsi="Cambria"/>
          <w:color w:val="000000" w:themeColor="text1"/>
          <w:sz w:val="28"/>
          <w:szCs w:val="28"/>
        </w:rPr>
        <w:t xml:space="preserve">for 6 months and the </w:t>
      </w:r>
      <w:r w:rsidR="003F29FB" w:rsidRPr="00DE773E">
        <w:rPr>
          <w:rFonts w:ascii="Cambria" w:hAnsi="Cambria"/>
          <w:color w:val="000000" w:themeColor="text1"/>
          <w:sz w:val="28"/>
          <w:szCs w:val="28"/>
        </w:rPr>
        <w:t>Hiprex</w:t>
      </w:r>
      <w:r w:rsidRPr="00DE773E">
        <w:rPr>
          <w:rFonts w:ascii="Cambria" w:hAnsi="Cambria"/>
          <w:color w:val="000000" w:themeColor="text1"/>
          <w:sz w:val="28"/>
          <w:szCs w:val="28"/>
        </w:rPr>
        <w:t xml:space="preserve"> </w:t>
      </w:r>
      <w:r w:rsidR="00B86C8D" w:rsidRPr="00DE773E">
        <w:rPr>
          <w:rFonts w:ascii="Cambria" w:hAnsi="Cambria"/>
          <w:color w:val="000000" w:themeColor="text1"/>
          <w:sz w:val="28"/>
          <w:szCs w:val="28"/>
        </w:rPr>
        <w:t>arm (</w:t>
      </w:r>
      <w:r w:rsidR="00652867" w:rsidRPr="00DE773E">
        <w:rPr>
          <w:rFonts w:ascii="Cambria" w:hAnsi="Cambria"/>
          <w:color w:val="000000" w:themeColor="text1"/>
          <w:sz w:val="28"/>
          <w:szCs w:val="28"/>
        </w:rPr>
        <w:t>Hiprex</w:t>
      </w:r>
      <w:r w:rsidR="00B86C8D" w:rsidRPr="00DE773E">
        <w:rPr>
          <w:rFonts w:ascii="Cambria" w:hAnsi="Cambria"/>
          <w:color w:val="000000" w:themeColor="text1"/>
          <w:sz w:val="28"/>
          <w:szCs w:val="28"/>
        </w:rPr>
        <w:t xml:space="preserve"> group)</w:t>
      </w:r>
      <w:r w:rsidRPr="00DE773E">
        <w:rPr>
          <w:rFonts w:ascii="Cambria" w:hAnsi="Cambria"/>
          <w:color w:val="000000" w:themeColor="text1"/>
          <w:sz w:val="28"/>
          <w:szCs w:val="28"/>
        </w:rPr>
        <w:t xml:space="preserve"> will receive </w:t>
      </w:r>
      <w:r w:rsidR="003F29FB" w:rsidRPr="00DE773E">
        <w:rPr>
          <w:rFonts w:ascii="Cambria" w:hAnsi="Cambria"/>
          <w:color w:val="000000" w:themeColor="text1"/>
          <w:sz w:val="28"/>
          <w:szCs w:val="28"/>
        </w:rPr>
        <w:t>Hiprex 1g tablets twice a day</w:t>
      </w:r>
      <w:r w:rsidR="009D3AD0" w:rsidRPr="00DE773E">
        <w:rPr>
          <w:rFonts w:ascii="Cambria" w:hAnsi="Cambria"/>
          <w:color w:val="000000" w:themeColor="text1"/>
          <w:sz w:val="28"/>
          <w:szCs w:val="28"/>
        </w:rPr>
        <w:t xml:space="preserve"> and </w:t>
      </w:r>
      <w:r w:rsidR="009D3AD0">
        <w:rPr>
          <w:rFonts w:ascii="Cambria" w:hAnsi="Cambria"/>
          <w:sz w:val="28"/>
          <w:szCs w:val="28"/>
        </w:rPr>
        <w:t>vitamin C</w:t>
      </w:r>
      <w:r w:rsidR="003F29FB" w:rsidRPr="006252B9">
        <w:rPr>
          <w:rFonts w:ascii="Cambria" w:hAnsi="Cambria"/>
          <w:sz w:val="28"/>
          <w:szCs w:val="28"/>
        </w:rPr>
        <w:t xml:space="preserve"> for 6 months</w:t>
      </w:r>
      <w:r w:rsidR="00E20BB0">
        <w:rPr>
          <w:rFonts w:ascii="Cambria" w:hAnsi="Cambria"/>
          <w:sz w:val="28"/>
          <w:szCs w:val="28"/>
        </w:rPr>
        <w:t>.</w:t>
      </w:r>
    </w:p>
    <w:p w:rsidR="00F61AEA" w:rsidRDefault="009D3AD0" w:rsidP="00E03041">
      <w:pPr>
        <w:rPr>
          <w:rFonts w:ascii="Cambria" w:hAnsi="Cambria"/>
          <w:sz w:val="28"/>
          <w:szCs w:val="28"/>
        </w:rPr>
      </w:pPr>
      <w:r>
        <w:rPr>
          <w:rFonts w:ascii="Cambria" w:hAnsi="Cambria"/>
          <w:sz w:val="28"/>
          <w:szCs w:val="28"/>
        </w:rPr>
        <w:t>If</w:t>
      </w:r>
      <w:r w:rsidR="00F61AEA" w:rsidRPr="006252B9">
        <w:rPr>
          <w:rFonts w:ascii="Cambria" w:hAnsi="Cambria"/>
          <w:sz w:val="28"/>
          <w:szCs w:val="28"/>
        </w:rPr>
        <w:t xml:space="preserve"> a participant report</w:t>
      </w:r>
      <w:r w:rsidR="00287CAC">
        <w:rPr>
          <w:rFonts w:ascii="Cambria" w:hAnsi="Cambria"/>
          <w:sz w:val="28"/>
          <w:szCs w:val="28"/>
        </w:rPr>
        <w:t>ed</w:t>
      </w:r>
      <w:r w:rsidR="00F61AEA" w:rsidRPr="006252B9">
        <w:rPr>
          <w:rFonts w:ascii="Cambria" w:hAnsi="Cambria"/>
          <w:sz w:val="28"/>
          <w:szCs w:val="28"/>
        </w:rPr>
        <w:t xml:space="preserve"> symptoms suggesting UTI (</w:t>
      </w:r>
      <w:r w:rsidR="00490B36" w:rsidRPr="006252B9">
        <w:rPr>
          <w:rFonts w:ascii="Cambria" w:hAnsi="Cambria"/>
          <w:sz w:val="28"/>
          <w:szCs w:val="28"/>
        </w:rPr>
        <w:t xml:space="preserve">See below </w:t>
      </w:r>
      <w:r w:rsidR="00E03041">
        <w:rPr>
          <w:rFonts w:ascii="Cambria" w:hAnsi="Cambria"/>
          <w:sz w:val="28"/>
          <w:szCs w:val="28"/>
        </w:rPr>
        <w:t xml:space="preserve">for </w:t>
      </w:r>
      <w:r w:rsidR="00490B36" w:rsidRPr="006252B9">
        <w:rPr>
          <w:rFonts w:ascii="Cambria" w:hAnsi="Cambria"/>
          <w:sz w:val="28"/>
          <w:szCs w:val="28"/>
        </w:rPr>
        <w:t>D</w:t>
      </w:r>
      <w:r w:rsidR="00347CED">
        <w:rPr>
          <w:rFonts w:ascii="Cambria" w:hAnsi="Cambria"/>
          <w:sz w:val="28"/>
          <w:szCs w:val="28"/>
        </w:rPr>
        <w:t>iagnosis of UTI), a clean mid-stream urine</w:t>
      </w:r>
      <w:r w:rsidR="00F61AEA" w:rsidRPr="006252B9">
        <w:rPr>
          <w:rFonts w:ascii="Cambria" w:hAnsi="Cambria"/>
          <w:sz w:val="28"/>
          <w:szCs w:val="28"/>
        </w:rPr>
        <w:t xml:space="preserve"> sample for culture and sensitivity will be collected. If UTI was diagnosed based on </w:t>
      </w:r>
      <w:r w:rsidR="00347CED">
        <w:rPr>
          <w:rFonts w:ascii="Cambria" w:hAnsi="Cambria"/>
          <w:sz w:val="28"/>
          <w:szCs w:val="28"/>
        </w:rPr>
        <w:t>the</w:t>
      </w:r>
      <w:r w:rsidR="00F61AEA" w:rsidRPr="006252B9">
        <w:rPr>
          <w:rFonts w:ascii="Cambria" w:hAnsi="Cambria"/>
          <w:sz w:val="28"/>
          <w:szCs w:val="28"/>
        </w:rPr>
        <w:t xml:space="preserve"> criteria</w:t>
      </w:r>
      <w:r w:rsidR="00347CED">
        <w:rPr>
          <w:rFonts w:ascii="Cambria" w:hAnsi="Cambria"/>
          <w:sz w:val="28"/>
          <w:szCs w:val="28"/>
        </w:rPr>
        <w:t xml:space="preserve"> described below,</w:t>
      </w:r>
      <w:r w:rsidR="00F61AEA" w:rsidRPr="006252B9">
        <w:rPr>
          <w:rFonts w:ascii="Cambria" w:hAnsi="Cambria"/>
          <w:sz w:val="28"/>
          <w:szCs w:val="28"/>
        </w:rPr>
        <w:t xml:space="preserve"> then the appropriate antibiotic therapy will be commenced with a follow up sample urine to confirm complete treatment of the UTI. </w:t>
      </w:r>
      <w:r w:rsidR="00E03041">
        <w:rPr>
          <w:rFonts w:ascii="Cambria" w:hAnsi="Cambria"/>
          <w:sz w:val="28"/>
          <w:szCs w:val="28"/>
        </w:rPr>
        <w:t xml:space="preserve">A UTI during the trial phase will not lead to exclusion from the study. Patients will continue the treatment to which they were assigned in the beginning of the trial. </w:t>
      </w:r>
    </w:p>
    <w:p w:rsidR="00540FA8" w:rsidRPr="006252B9" w:rsidRDefault="00540FA8" w:rsidP="00E03041">
      <w:pPr>
        <w:rPr>
          <w:rFonts w:ascii="Cambria" w:hAnsi="Cambria"/>
          <w:sz w:val="28"/>
          <w:szCs w:val="28"/>
        </w:rPr>
      </w:pPr>
      <w:r>
        <w:rPr>
          <w:rFonts w:ascii="Cambria" w:hAnsi="Cambria"/>
          <w:sz w:val="28"/>
          <w:szCs w:val="28"/>
        </w:rPr>
        <w:t>Occurrence of UTI is the primary outcome of the trial (binary data). The secondary outcome</w:t>
      </w:r>
      <w:r w:rsidR="00C76F5C">
        <w:rPr>
          <w:rFonts w:ascii="Cambria" w:hAnsi="Cambria"/>
          <w:sz w:val="28"/>
          <w:szCs w:val="28"/>
        </w:rPr>
        <w:t>s</w:t>
      </w:r>
      <w:r>
        <w:rPr>
          <w:rFonts w:ascii="Cambria" w:hAnsi="Cambria"/>
          <w:sz w:val="28"/>
          <w:szCs w:val="28"/>
        </w:rPr>
        <w:t xml:space="preserve"> include number of UTIs (count) and time to first UTI (surveillance data). We will collect and report on all adverse </w:t>
      </w:r>
      <w:r w:rsidR="00A33565">
        <w:rPr>
          <w:rFonts w:ascii="Cambria" w:hAnsi="Cambria"/>
          <w:sz w:val="28"/>
          <w:szCs w:val="28"/>
        </w:rPr>
        <w:t>outcomes during the trial phase as part of the secondary outcomes.</w:t>
      </w:r>
    </w:p>
    <w:p w:rsidR="00F61AEA" w:rsidRDefault="00C76F5C" w:rsidP="00C76F5C">
      <w:pPr>
        <w:pStyle w:val="p1"/>
        <w:rPr>
          <w:rStyle w:val="s1"/>
          <w:rFonts w:asciiTheme="minorHAnsi" w:hAnsiTheme="minorHAnsi" w:cstheme="minorBidi"/>
          <w:color w:val="auto"/>
          <w:sz w:val="24"/>
          <w:szCs w:val="24"/>
          <w:lang w:val="en-AU" w:eastAsia="en-US"/>
        </w:rPr>
      </w:pPr>
      <w:r w:rsidRPr="00C76F5C">
        <w:rPr>
          <w:rStyle w:val="s1"/>
          <w:rFonts w:asciiTheme="minorHAnsi" w:hAnsiTheme="minorHAnsi"/>
          <w:color w:val="000000" w:themeColor="text1"/>
          <w:sz w:val="28"/>
          <w:szCs w:val="28"/>
        </w:rPr>
        <w:t>Efforts will be made to minimise missing values. We will use the multiple imputation approach to handle missing values.</w:t>
      </w:r>
    </w:p>
    <w:p w:rsidR="00C76F5C" w:rsidRPr="00C76F5C" w:rsidRDefault="00C76F5C" w:rsidP="00C76F5C">
      <w:pPr>
        <w:pStyle w:val="p1"/>
        <w:rPr>
          <w:rFonts w:asciiTheme="minorHAnsi" w:hAnsiTheme="minorHAnsi"/>
          <w:color w:val="000000" w:themeColor="text1"/>
          <w:sz w:val="28"/>
          <w:szCs w:val="28"/>
        </w:rPr>
      </w:pPr>
    </w:p>
    <w:p w:rsidR="00C47404" w:rsidRDefault="00C47404" w:rsidP="00976908">
      <w:pPr>
        <w:rPr>
          <w:rFonts w:ascii="Cambria" w:hAnsi="Cambria"/>
          <w:sz w:val="28"/>
          <w:szCs w:val="28"/>
        </w:rPr>
      </w:pPr>
      <w:r>
        <w:rPr>
          <w:rFonts w:ascii="Cambria" w:hAnsi="Cambria"/>
          <w:sz w:val="28"/>
          <w:szCs w:val="28"/>
        </w:rPr>
        <w:t>It is important to mention that either of these treatments are standard treatments used in day to day clinical practice in the units involved. Either of these medications can be used at the discretion of the responsible medical practitioner. Also, the investigations detailed above will be performed on all patients who present with rUTI. It is only in the setting of this trial that participants will be randomised to either of the 2 groups. The research</w:t>
      </w:r>
      <w:r w:rsidR="001E76D0">
        <w:rPr>
          <w:rFonts w:ascii="Cambria" w:hAnsi="Cambria"/>
          <w:sz w:val="28"/>
          <w:szCs w:val="28"/>
        </w:rPr>
        <w:t xml:space="preserve">ers involved in this trial by </w:t>
      </w:r>
      <w:r>
        <w:rPr>
          <w:rFonts w:ascii="Cambria" w:hAnsi="Cambria"/>
          <w:sz w:val="28"/>
          <w:szCs w:val="28"/>
        </w:rPr>
        <w:t xml:space="preserve">no means </w:t>
      </w:r>
      <w:r w:rsidR="001E76D0">
        <w:rPr>
          <w:rFonts w:ascii="Cambria" w:hAnsi="Cambria"/>
          <w:sz w:val="28"/>
          <w:szCs w:val="28"/>
        </w:rPr>
        <w:t xml:space="preserve">have </w:t>
      </w:r>
      <w:r>
        <w:rPr>
          <w:rFonts w:ascii="Cambria" w:hAnsi="Cambria"/>
          <w:sz w:val="28"/>
          <w:szCs w:val="28"/>
        </w:rPr>
        <w:t>any intention to modify or discriminate the standard of care currently being applied in the relevant units.</w:t>
      </w:r>
    </w:p>
    <w:p w:rsidR="001D0512" w:rsidRPr="006252B9" w:rsidRDefault="000B57BA">
      <w:pPr>
        <w:rPr>
          <w:rFonts w:ascii="Cambria" w:hAnsi="Cambria"/>
          <w:sz w:val="28"/>
          <w:szCs w:val="28"/>
        </w:rPr>
      </w:pPr>
      <w:r>
        <w:rPr>
          <w:rFonts w:ascii="Cambria" w:hAnsi="Cambria"/>
          <w:sz w:val="28"/>
          <w:szCs w:val="28"/>
        </w:rPr>
        <w:t xml:space="preserve">All patients will be provided contact information of the </w:t>
      </w:r>
      <w:r w:rsidR="005269A6">
        <w:rPr>
          <w:rFonts w:ascii="Cambria" w:hAnsi="Cambria"/>
          <w:sz w:val="28"/>
          <w:szCs w:val="28"/>
        </w:rPr>
        <w:t xml:space="preserve">research </w:t>
      </w:r>
      <w:r>
        <w:rPr>
          <w:rFonts w:ascii="Cambria" w:hAnsi="Cambria"/>
          <w:sz w:val="28"/>
          <w:szCs w:val="28"/>
        </w:rPr>
        <w:t>team involved in the trial to report any side effects or discuss any concerns or if they wished to withdraw from the trial.</w:t>
      </w:r>
      <w:r w:rsidR="00976908">
        <w:rPr>
          <w:rFonts w:ascii="Cambria" w:hAnsi="Cambria"/>
          <w:sz w:val="28"/>
          <w:szCs w:val="28"/>
        </w:rPr>
        <w:t xml:space="preserve"> Patients will be followed up after randomisation at 3 months and 6 months. Patient satisfaction will be evaluated at the 2 visits of the study drug with a visual analogue score (VAS) chart. All adverse events will be recorded and dealt with to </w:t>
      </w:r>
      <w:r w:rsidR="009D3AD0">
        <w:rPr>
          <w:rFonts w:ascii="Cambria" w:hAnsi="Cambria"/>
          <w:sz w:val="28"/>
          <w:szCs w:val="28"/>
        </w:rPr>
        <w:t xml:space="preserve">the </w:t>
      </w:r>
      <w:r w:rsidR="00976908">
        <w:rPr>
          <w:rFonts w:ascii="Cambria" w:hAnsi="Cambria"/>
          <w:sz w:val="28"/>
          <w:szCs w:val="28"/>
        </w:rPr>
        <w:t>patient</w:t>
      </w:r>
      <w:r w:rsidR="009D3AD0">
        <w:rPr>
          <w:rFonts w:ascii="Cambria" w:hAnsi="Cambria"/>
          <w:sz w:val="28"/>
          <w:szCs w:val="28"/>
        </w:rPr>
        <w:t>’</w:t>
      </w:r>
      <w:r w:rsidR="00976908">
        <w:rPr>
          <w:rFonts w:ascii="Cambria" w:hAnsi="Cambria"/>
          <w:sz w:val="28"/>
          <w:szCs w:val="28"/>
        </w:rPr>
        <w:t xml:space="preserve">s satisfaction. Patients will have the option of withdrawal at any point during the study if significant side effects </w:t>
      </w:r>
      <w:r w:rsidR="009D3AD0">
        <w:rPr>
          <w:rFonts w:ascii="Cambria" w:hAnsi="Cambria"/>
          <w:sz w:val="28"/>
          <w:szCs w:val="28"/>
        </w:rPr>
        <w:t xml:space="preserve">are </w:t>
      </w:r>
      <w:r w:rsidR="00976908">
        <w:rPr>
          <w:rFonts w:ascii="Cambria" w:hAnsi="Cambria"/>
          <w:sz w:val="28"/>
          <w:szCs w:val="28"/>
        </w:rPr>
        <w:t>experienced.</w:t>
      </w:r>
    </w:p>
    <w:p w:rsidR="000873EE" w:rsidRDefault="00F61AEA" w:rsidP="00F61AEA">
      <w:pPr>
        <w:rPr>
          <w:rFonts w:ascii="Cambria" w:hAnsi="Cambria"/>
          <w:sz w:val="28"/>
          <w:szCs w:val="28"/>
        </w:rPr>
      </w:pPr>
      <w:r w:rsidRPr="006252B9">
        <w:rPr>
          <w:rFonts w:ascii="Cambria" w:hAnsi="Cambria"/>
          <w:sz w:val="28"/>
          <w:szCs w:val="28"/>
        </w:rPr>
        <w:t>At the end of 6 months</w:t>
      </w:r>
      <w:r w:rsidR="00287CAC">
        <w:rPr>
          <w:rFonts w:ascii="Cambria" w:hAnsi="Cambria"/>
          <w:sz w:val="28"/>
          <w:szCs w:val="28"/>
        </w:rPr>
        <w:t xml:space="preserve"> </w:t>
      </w:r>
      <w:r w:rsidRPr="006252B9">
        <w:rPr>
          <w:rFonts w:ascii="Cambria" w:hAnsi="Cambria"/>
          <w:sz w:val="28"/>
          <w:szCs w:val="28"/>
        </w:rPr>
        <w:t xml:space="preserve">the prophylaxis </w:t>
      </w:r>
      <w:r w:rsidR="00E03041">
        <w:rPr>
          <w:rFonts w:ascii="Cambria" w:hAnsi="Cambria"/>
          <w:sz w:val="28"/>
          <w:szCs w:val="28"/>
        </w:rPr>
        <w:t xml:space="preserve">(antibiotic and Hiprex) </w:t>
      </w:r>
      <w:r w:rsidRPr="006252B9">
        <w:rPr>
          <w:rFonts w:ascii="Cambria" w:hAnsi="Cambria"/>
          <w:sz w:val="28"/>
          <w:szCs w:val="28"/>
        </w:rPr>
        <w:t xml:space="preserve">will be discontinued and all patients </w:t>
      </w:r>
      <w:r w:rsidR="00490B36" w:rsidRPr="006252B9">
        <w:rPr>
          <w:rFonts w:ascii="Cambria" w:hAnsi="Cambria"/>
          <w:sz w:val="28"/>
          <w:szCs w:val="28"/>
        </w:rPr>
        <w:t>will be followed up either by an appointment in person or by telephone.</w:t>
      </w:r>
      <w:r w:rsidR="00755DA3">
        <w:rPr>
          <w:rFonts w:ascii="Cambria" w:hAnsi="Cambria"/>
          <w:sz w:val="28"/>
          <w:szCs w:val="28"/>
        </w:rPr>
        <w:t xml:space="preserve"> We will follow up patients for 3 months after the termination of the trial drugs in regard to any episode</w:t>
      </w:r>
      <w:r w:rsidR="009D3AD0">
        <w:rPr>
          <w:rFonts w:ascii="Cambria" w:hAnsi="Cambria"/>
          <w:sz w:val="28"/>
          <w:szCs w:val="28"/>
        </w:rPr>
        <w:t xml:space="preserve"> </w:t>
      </w:r>
      <w:r w:rsidR="00755DA3">
        <w:rPr>
          <w:rFonts w:ascii="Cambria" w:hAnsi="Cambria"/>
          <w:sz w:val="28"/>
          <w:szCs w:val="28"/>
        </w:rPr>
        <w:t>of UTI.</w:t>
      </w:r>
    </w:p>
    <w:p w:rsidR="00F61AEA" w:rsidRPr="006252B9" w:rsidRDefault="00F61AEA" w:rsidP="00F61AEA">
      <w:pPr>
        <w:rPr>
          <w:rFonts w:ascii="Cambria" w:hAnsi="Cambria"/>
          <w:sz w:val="28"/>
          <w:szCs w:val="28"/>
        </w:rPr>
      </w:pPr>
      <w:r w:rsidRPr="006252B9">
        <w:rPr>
          <w:rFonts w:ascii="Cambria" w:hAnsi="Cambria"/>
          <w:sz w:val="28"/>
          <w:szCs w:val="28"/>
        </w:rPr>
        <w:t xml:space="preserve"> </w:t>
      </w:r>
    </w:p>
    <w:p w:rsidR="00F26B08" w:rsidRPr="006252B9" w:rsidRDefault="00F26B08" w:rsidP="00F26B08">
      <w:pPr>
        <w:rPr>
          <w:rFonts w:ascii="Cambria" w:hAnsi="Cambria"/>
          <w:i/>
          <w:iCs/>
          <w:sz w:val="28"/>
          <w:szCs w:val="28"/>
        </w:rPr>
      </w:pPr>
      <w:r w:rsidRPr="006252B9">
        <w:rPr>
          <w:rFonts w:ascii="Cambria" w:hAnsi="Cambria"/>
          <w:i/>
          <w:iCs/>
          <w:sz w:val="28"/>
          <w:szCs w:val="28"/>
        </w:rPr>
        <w:t>Diagnosis of UTI:</w:t>
      </w:r>
    </w:p>
    <w:p w:rsidR="002A2DC3" w:rsidRDefault="00F26B08" w:rsidP="002A2DC3">
      <w:pPr>
        <w:pStyle w:val="NormalWeb"/>
      </w:pPr>
      <w:r w:rsidRPr="006252B9">
        <w:rPr>
          <w:rFonts w:ascii="Cambria" w:hAnsi="Cambria" w:cs="Times"/>
          <w:sz w:val="28"/>
          <w:szCs w:val="28"/>
        </w:rPr>
        <w:t xml:space="preserve">We will collect midstream urine samples with patients not voiding for at least 3 hours earlier and after washing the genital area with </w:t>
      </w:r>
      <w:r w:rsidR="009D3AD0">
        <w:rPr>
          <w:rFonts w:ascii="Cambria" w:hAnsi="Cambria" w:cs="Times"/>
          <w:sz w:val="28"/>
          <w:szCs w:val="28"/>
        </w:rPr>
        <w:t xml:space="preserve">a </w:t>
      </w:r>
      <w:r w:rsidRPr="006252B9">
        <w:rPr>
          <w:rFonts w:ascii="Cambria" w:hAnsi="Cambria" w:cs="Times"/>
          <w:sz w:val="28"/>
          <w:szCs w:val="28"/>
        </w:rPr>
        <w:t>sterile water wipe. We define diagnosis of UTI based on 10</w:t>
      </w:r>
      <w:r w:rsidRPr="006252B9">
        <w:rPr>
          <w:rFonts w:ascii="Cambria" w:hAnsi="Cambria" w:cs="Times"/>
          <w:position w:val="10"/>
          <w:sz w:val="28"/>
          <w:szCs w:val="28"/>
        </w:rPr>
        <w:t xml:space="preserve">3 </w:t>
      </w:r>
      <w:r w:rsidRPr="006252B9">
        <w:rPr>
          <w:rFonts w:ascii="Cambria" w:hAnsi="Cambria" w:cs="Times"/>
          <w:sz w:val="28"/>
          <w:szCs w:val="28"/>
        </w:rPr>
        <w:t>or more colony- forming units (CFU) in 1 ml of clean voided midstream urine, and at least two of the following lower urinary tract symptoms (LUTS): dysuria, frequency, urgency, suprapu</w:t>
      </w:r>
      <w:r w:rsidR="00D971B3" w:rsidRPr="006252B9">
        <w:rPr>
          <w:rFonts w:ascii="Cambria" w:hAnsi="Cambria" w:cs="Times"/>
          <w:sz w:val="28"/>
          <w:szCs w:val="28"/>
        </w:rPr>
        <w:t>bic pain, nocturia</w:t>
      </w:r>
      <w:r w:rsidRPr="006252B9">
        <w:rPr>
          <w:rFonts w:ascii="Cambria" w:hAnsi="Cambria" w:cs="Times"/>
          <w:sz w:val="28"/>
          <w:szCs w:val="28"/>
        </w:rPr>
        <w:t xml:space="preserve"> and hematuria. </w:t>
      </w:r>
      <w:r w:rsidR="002A2DC3" w:rsidRPr="00A26F06">
        <w:rPr>
          <w:rFonts w:ascii="Cambria" w:hAnsi="Cambria" w:cs="Times"/>
          <w:i/>
          <w:iCs/>
        </w:rPr>
        <w:t>(</w:t>
      </w:r>
      <w:r w:rsidR="00A26F06">
        <w:rPr>
          <w:rFonts w:ascii="Cambria" w:hAnsi="Cambria"/>
          <w:i/>
          <w:iCs/>
        </w:rPr>
        <w:t>M. Grabe</w:t>
      </w:r>
      <w:r w:rsidR="002A2DC3" w:rsidRPr="00A26F06">
        <w:rPr>
          <w:rFonts w:ascii="Cambria" w:hAnsi="Cambria"/>
          <w:i/>
          <w:iCs/>
        </w:rPr>
        <w:t>, R. Bartoletti, T.E. Bjerklund Johanse</w:t>
      </w:r>
      <w:r w:rsidR="00A26F06">
        <w:rPr>
          <w:rFonts w:ascii="Cambria" w:hAnsi="Cambria"/>
          <w:i/>
          <w:iCs/>
        </w:rPr>
        <w:t>n, T. Cai</w:t>
      </w:r>
      <w:r w:rsidR="002A2DC3" w:rsidRPr="00A26F06">
        <w:rPr>
          <w:rFonts w:ascii="Cambria" w:hAnsi="Cambria"/>
          <w:i/>
          <w:iCs/>
        </w:rPr>
        <w:t>, M. Çek,</w:t>
      </w:r>
      <w:r w:rsidR="00A26F06">
        <w:rPr>
          <w:rFonts w:ascii="Cambria" w:hAnsi="Cambria"/>
          <w:i/>
          <w:iCs/>
        </w:rPr>
        <w:t xml:space="preserve"> B. Köves</w:t>
      </w:r>
      <w:r w:rsidR="002A2DC3" w:rsidRPr="00A26F06">
        <w:rPr>
          <w:rFonts w:ascii="Cambria" w:hAnsi="Cambria"/>
          <w:i/>
          <w:iCs/>
        </w:rPr>
        <w:t>, K.G. Naber, R.S. Pickard, P. Tenke, F. Wagenlehner, B. Wullt</w:t>
      </w:r>
      <w:r w:rsidR="00A26F06" w:rsidRPr="00A26F06">
        <w:rPr>
          <w:rFonts w:ascii="Cambria" w:hAnsi="Cambria"/>
          <w:i/>
          <w:iCs/>
        </w:rPr>
        <w:t>. Guidelines on urological infections. European Association of Urology 2015)</w:t>
      </w:r>
    </w:p>
    <w:p w:rsidR="00F26B08" w:rsidRPr="006252B9" w:rsidRDefault="00F26B08" w:rsidP="00F26B08">
      <w:pPr>
        <w:widowControl w:val="0"/>
        <w:autoSpaceDE w:val="0"/>
        <w:autoSpaceDN w:val="0"/>
        <w:adjustRightInd w:val="0"/>
        <w:spacing w:after="240" w:line="300" w:lineRule="atLeast"/>
        <w:rPr>
          <w:rFonts w:ascii="Cambria" w:hAnsi="Cambria" w:cs="Times"/>
          <w:sz w:val="28"/>
          <w:szCs w:val="28"/>
          <w:lang w:val="en-US"/>
        </w:rPr>
      </w:pPr>
    </w:p>
    <w:p w:rsidR="0054308F" w:rsidRPr="006252B9" w:rsidRDefault="009D3AD0" w:rsidP="0054308F">
      <w:pPr>
        <w:widowControl w:val="0"/>
        <w:autoSpaceDE w:val="0"/>
        <w:autoSpaceDN w:val="0"/>
        <w:adjustRightInd w:val="0"/>
        <w:spacing w:after="240" w:line="300" w:lineRule="atLeast"/>
        <w:rPr>
          <w:rFonts w:ascii="Cambria" w:hAnsi="Cambria" w:cs="Times"/>
          <w:i/>
          <w:iCs/>
          <w:sz w:val="28"/>
          <w:szCs w:val="28"/>
          <w:lang w:val="en-US"/>
        </w:rPr>
      </w:pPr>
      <w:r>
        <w:rPr>
          <w:rFonts w:ascii="Cambria" w:hAnsi="Cambria" w:cs="Times"/>
          <w:i/>
          <w:iCs/>
          <w:sz w:val="28"/>
          <w:szCs w:val="28"/>
          <w:lang w:val="en-US"/>
        </w:rPr>
        <w:t xml:space="preserve">Diagnosis of </w:t>
      </w:r>
      <w:r w:rsidR="00E423B4" w:rsidRPr="006252B9">
        <w:rPr>
          <w:rFonts w:ascii="Cambria" w:hAnsi="Cambria" w:cs="Times"/>
          <w:i/>
          <w:iCs/>
          <w:sz w:val="28"/>
          <w:szCs w:val="28"/>
          <w:lang w:val="en-US"/>
        </w:rPr>
        <w:t>Bacteriuria:</w:t>
      </w:r>
    </w:p>
    <w:p w:rsidR="0054308F" w:rsidRPr="006252B9" w:rsidRDefault="00E423B4" w:rsidP="006A01D1">
      <w:pPr>
        <w:widowControl w:val="0"/>
        <w:autoSpaceDE w:val="0"/>
        <w:autoSpaceDN w:val="0"/>
        <w:adjustRightInd w:val="0"/>
        <w:spacing w:before="240" w:after="240" w:line="300" w:lineRule="atLeast"/>
        <w:rPr>
          <w:rFonts w:ascii="Cambria" w:hAnsi="Cambria" w:cs="Times"/>
          <w:i/>
          <w:iCs/>
          <w:sz w:val="28"/>
          <w:szCs w:val="28"/>
          <w:lang w:val="en-US"/>
        </w:rPr>
      </w:pPr>
      <w:r w:rsidRPr="006252B9">
        <w:rPr>
          <w:rFonts w:ascii="Cambria" w:hAnsi="Cambria" w:cs="Times"/>
          <w:sz w:val="28"/>
          <w:szCs w:val="28"/>
          <w:lang w:val="en-US"/>
        </w:rPr>
        <w:t>Presence of 10</w:t>
      </w:r>
      <w:r w:rsidR="005C0BE2" w:rsidRPr="006252B9">
        <w:rPr>
          <w:rFonts w:ascii="Cambria" w:hAnsi="Cambria" w:cs="Times"/>
          <w:position w:val="10"/>
          <w:sz w:val="28"/>
          <w:szCs w:val="28"/>
          <w:lang w:val="en-US"/>
        </w:rPr>
        <w:t>5</w:t>
      </w:r>
      <w:r w:rsidRPr="006252B9">
        <w:rPr>
          <w:rFonts w:ascii="Cambria" w:hAnsi="Cambria" w:cs="Times"/>
          <w:sz w:val="28"/>
          <w:szCs w:val="28"/>
          <w:lang w:val="en-US"/>
        </w:rPr>
        <w:t xml:space="preserve"> colony- forming units (CFU) </w:t>
      </w:r>
      <w:r w:rsidR="005C0BE2" w:rsidRPr="006252B9">
        <w:rPr>
          <w:rFonts w:ascii="Cambria" w:hAnsi="Cambria" w:cs="Times"/>
          <w:sz w:val="28"/>
          <w:szCs w:val="28"/>
          <w:lang w:val="en-US"/>
        </w:rPr>
        <w:t xml:space="preserve">of a single bacterial species </w:t>
      </w:r>
      <w:r w:rsidRPr="006252B9">
        <w:rPr>
          <w:rFonts w:ascii="Cambria" w:hAnsi="Cambria" w:cs="Times"/>
          <w:sz w:val="28"/>
          <w:szCs w:val="28"/>
          <w:lang w:val="en-US"/>
        </w:rPr>
        <w:t xml:space="preserve">in </w:t>
      </w:r>
      <w:r w:rsidR="006A01D1">
        <w:rPr>
          <w:rFonts w:ascii="Cambria" w:hAnsi="Cambria" w:cs="Times"/>
          <w:sz w:val="28"/>
          <w:szCs w:val="28"/>
          <w:lang w:val="en-US"/>
        </w:rPr>
        <w:t>2 consecutive sample</w:t>
      </w:r>
      <w:r w:rsidR="009D3AD0">
        <w:rPr>
          <w:rFonts w:ascii="Cambria" w:hAnsi="Cambria" w:cs="Times"/>
          <w:sz w:val="28"/>
          <w:szCs w:val="28"/>
          <w:lang w:val="en-US"/>
        </w:rPr>
        <w:t>s</w:t>
      </w:r>
      <w:r w:rsidRPr="006252B9">
        <w:rPr>
          <w:rFonts w:ascii="Cambria" w:hAnsi="Cambria" w:cs="Times"/>
          <w:sz w:val="28"/>
          <w:szCs w:val="28"/>
          <w:lang w:val="en-US"/>
        </w:rPr>
        <w:t xml:space="preserve"> of clean voided midstream urine in the absence of any urinary symptoms.</w:t>
      </w:r>
      <w:r w:rsidR="0054308F" w:rsidRPr="006252B9">
        <w:rPr>
          <w:rFonts w:ascii="Cambria" w:hAnsi="Cambria" w:cs="Times"/>
          <w:sz w:val="28"/>
          <w:szCs w:val="28"/>
          <w:lang w:val="en-US"/>
        </w:rPr>
        <w:t xml:space="preserve"> </w:t>
      </w:r>
      <w:r w:rsidR="0054308F" w:rsidRPr="00E20BB0">
        <w:rPr>
          <w:rFonts w:ascii="Cambria" w:hAnsi="Cambria" w:cs="Times"/>
          <w:i/>
          <w:iCs/>
          <w:lang w:val="en-US"/>
        </w:rPr>
        <w:t>(</w:t>
      </w:r>
      <w:r w:rsidR="0054308F" w:rsidRPr="00E20BB0">
        <w:rPr>
          <w:rFonts w:ascii="Cambria" w:hAnsi="Cambria"/>
          <w:i/>
          <w:iCs/>
        </w:rPr>
        <w:t>Rubin RH, Shapiro ED, Andriole VT et al. Evaluation of new anti- infective drugs for the treatment of urinary tract infection. Infectious Diseases Society of America and the Food and Drug Administration. Clinical infectious diseases: an official publication of the Infectious Diseases Society of America. 1992;15 Suppl 1:S216-27. Epub 1992/11/01)</w:t>
      </w:r>
    </w:p>
    <w:p w:rsidR="00E423B4" w:rsidRDefault="00B93327" w:rsidP="005C0BE2">
      <w:pPr>
        <w:widowControl w:val="0"/>
        <w:autoSpaceDE w:val="0"/>
        <w:autoSpaceDN w:val="0"/>
        <w:adjustRightInd w:val="0"/>
        <w:spacing w:after="240" w:line="300" w:lineRule="atLeast"/>
        <w:rPr>
          <w:rFonts w:ascii="Cambria" w:hAnsi="Cambria" w:cs="Times"/>
          <w:sz w:val="28"/>
          <w:szCs w:val="28"/>
          <w:lang w:val="en-US"/>
        </w:rPr>
      </w:pPr>
      <w:r>
        <w:rPr>
          <w:rFonts w:ascii="Cambria" w:hAnsi="Cambria" w:cs="Times"/>
          <w:sz w:val="28"/>
          <w:szCs w:val="28"/>
          <w:lang w:val="en-US"/>
        </w:rPr>
        <w:t>Diagnosis of pyuria</w:t>
      </w:r>
      <w:r w:rsidR="0023526C">
        <w:rPr>
          <w:rFonts w:ascii="Cambria" w:hAnsi="Cambria" w:cs="Times"/>
          <w:sz w:val="28"/>
          <w:szCs w:val="28"/>
          <w:lang w:val="en-US"/>
        </w:rPr>
        <w:t>:</w:t>
      </w:r>
    </w:p>
    <w:p w:rsidR="00B93327" w:rsidRPr="006252B9" w:rsidRDefault="00B93327" w:rsidP="005C0BE2">
      <w:pPr>
        <w:widowControl w:val="0"/>
        <w:autoSpaceDE w:val="0"/>
        <w:autoSpaceDN w:val="0"/>
        <w:adjustRightInd w:val="0"/>
        <w:spacing w:after="240" w:line="300" w:lineRule="atLeast"/>
        <w:rPr>
          <w:rFonts w:ascii="Cambria" w:hAnsi="Cambria" w:cs="Times"/>
          <w:sz w:val="28"/>
          <w:szCs w:val="28"/>
          <w:lang w:val="en-US"/>
        </w:rPr>
      </w:pPr>
      <w:r>
        <w:rPr>
          <w:rFonts w:ascii="Cambria" w:hAnsi="Cambria" w:cs="Times"/>
          <w:sz w:val="28"/>
          <w:szCs w:val="28"/>
          <w:lang w:val="en-US"/>
        </w:rPr>
        <w:t>Presence of 10 or more white blood cells per high power field (x400) in the resuspended sediment of centrifuged aliquot of urine or per cubic millimeter of unspun urine.</w:t>
      </w:r>
      <w:r w:rsidR="0023526C" w:rsidRPr="0023526C">
        <w:rPr>
          <w:rFonts w:ascii="Cambria" w:hAnsi="Cambria" w:cs="Times"/>
          <w:i/>
          <w:iCs/>
        </w:rPr>
        <w:t xml:space="preserve"> </w:t>
      </w:r>
      <w:r w:rsidR="0023526C" w:rsidRPr="00A26F06">
        <w:rPr>
          <w:rFonts w:ascii="Cambria" w:hAnsi="Cambria" w:cs="Times"/>
          <w:i/>
          <w:iCs/>
        </w:rPr>
        <w:t>(</w:t>
      </w:r>
      <w:r w:rsidR="0023526C">
        <w:rPr>
          <w:rFonts w:ascii="Cambria" w:hAnsi="Cambria"/>
          <w:i/>
          <w:iCs/>
        </w:rPr>
        <w:t>M. Grabe</w:t>
      </w:r>
      <w:r w:rsidR="0023526C" w:rsidRPr="00A26F06">
        <w:rPr>
          <w:rFonts w:ascii="Cambria" w:hAnsi="Cambria"/>
          <w:i/>
          <w:iCs/>
        </w:rPr>
        <w:t>, R. Bartoletti, T.E. Bjerklund Johanse</w:t>
      </w:r>
      <w:r w:rsidR="0023526C">
        <w:rPr>
          <w:rFonts w:ascii="Cambria" w:hAnsi="Cambria"/>
          <w:i/>
          <w:iCs/>
        </w:rPr>
        <w:t>n, T. Cai</w:t>
      </w:r>
      <w:r w:rsidR="0023526C" w:rsidRPr="00A26F06">
        <w:rPr>
          <w:rFonts w:ascii="Cambria" w:hAnsi="Cambria"/>
          <w:i/>
          <w:iCs/>
        </w:rPr>
        <w:t>, M. Çek,</w:t>
      </w:r>
      <w:r w:rsidR="0023526C">
        <w:rPr>
          <w:rFonts w:ascii="Cambria" w:hAnsi="Cambria"/>
          <w:i/>
          <w:iCs/>
        </w:rPr>
        <w:t xml:space="preserve"> B. Köves</w:t>
      </w:r>
      <w:r w:rsidR="0023526C" w:rsidRPr="00A26F06">
        <w:rPr>
          <w:rFonts w:ascii="Cambria" w:hAnsi="Cambria"/>
          <w:i/>
          <w:iCs/>
        </w:rPr>
        <w:t>, K.G. Naber, R.S. Pickard, P. Tenke, F. Wagenlehner, B. Wullt. Guidelines on urological infections. European Association of Urology 2015)</w:t>
      </w:r>
    </w:p>
    <w:p w:rsidR="00E423B4" w:rsidRPr="006252B9" w:rsidRDefault="00E423B4" w:rsidP="009D4857">
      <w:pPr>
        <w:widowControl w:val="0"/>
        <w:autoSpaceDE w:val="0"/>
        <w:autoSpaceDN w:val="0"/>
        <w:adjustRightInd w:val="0"/>
        <w:spacing w:after="240" w:line="300" w:lineRule="atLeast"/>
        <w:rPr>
          <w:rFonts w:ascii="Cambria" w:hAnsi="Cambria" w:cs="Times"/>
          <w:i/>
          <w:iCs/>
          <w:sz w:val="28"/>
          <w:szCs w:val="28"/>
          <w:lang w:val="en-US"/>
        </w:rPr>
      </w:pPr>
      <w:r w:rsidRPr="006252B9">
        <w:rPr>
          <w:rFonts w:ascii="Cambria" w:hAnsi="Cambria" w:cs="Times"/>
          <w:i/>
          <w:iCs/>
          <w:sz w:val="28"/>
          <w:szCs w:val="28"/>
          <w:lang w:val="en-US"/>
        </w:rPr>
        <w:t xml:space="preserve">Adverse </w:t>
      </w:r>
      <w:r w:rsidR="003A74B6" w:rsidRPr="006252B9">
        <w:rPr>
          <w:rFonts w:ascii="Cambria" w:hAnsi="Cambria" w:cs="Times"/>
          <w:i/>
          <w:iCs/>
          <w:sz w:val="28"/>
          <w:szCs w:val="28"/>
          <w:lang w:val="en-US"/>
        </w:rPr>
        <w:t>reaction and side effects</w:t>
      </w:r>
      <w:r w:rsidRPr="006252B9">
        <w:rPr>
          <w:rFonts w:ascii="Cambria" w:hAnsi="Cambria" w:cs="Times"/>
          <w:i/>
          <w:iCs/>
          <w:sz w:val="28"/>
          <w:szCs w:val="28"/>
          <w:lang w:val="en-US"/>
        </w:rPr>
        <w:t>:</w:t>
      </w:r>
    </w:p>
    <w:p w:rsidR="00310022" w:rsidRPr="006252B9" w:rsidRDefault="00AB3D83" w:rsidP="00310022">
      <w:pPr>
        <w:widowControl w:val="0"/>
        <w:autoSpaceDE w:val="0"/>
        <w:autoSpaceDN w:val="0"/>
        <w:adjustRightInd w:val="0"/>
        <w:spacing w:after="0"/>
        <w:rPr>
          <w:rFonts w:ascii="Cambria" w:hAnsi="Cambria" w:cs="Arial"/>
          <w:i/>
          <w:iCs/>
          <w:lang w:val="en-US"/>
        </w:rPr>
      </w:pPr>
      <w:r w:rsidRPr="006252B9">
        <w:rPr>
          <w:rFonts w:ascii="Cambria" w:hAnsi="Cambria" w:cs="Arial"/>
          <w:sz w:val="26"/>
          <w:szCs w:val="26"/>
          <w:lang w:val="en-US"/>
        </w:rPr>
        <w:t>An appreciably harmful or unpleasant reaction, resulting from an intervention related to the use of a medicinal product, which predicts hazard from future administration and warrants prevention or specific treatment, or alteration of the dosage regimen, or withdrawal of the product</w:t>
      </w:r>
      <w:r w:rsidR="00F26B08" w:rsidRPr="006252B9">
        <w:rPr>
          <w:rFonts w:ascii="Cambria" w:hAnsi="Cambria" w:cs="Times"/>
          <w:sz w:val="28"/>
          <w:szCs w:val="28"/>
          <w:lang w:val="en-US"/>
        </w:rPr>
        <w:t xml:space="preserve"> </w:t>
      </w:r>
      <w:r w:rsidR="00310022" w:rsidRPr="006252B9">
        <w:rPr>
          <w:rFonts w:ascii="Cambria" w:hAnsi="Cambria" w:cs="Times"/>
          <w:sz w:val="28"/>
          <w:szCs w:val="28"/>
          <w:lang w:val="en-US"/>
        </w:rPr>
        <w:t>(</w:t>
      </w:r>
      <w:r w:rsidR="00310022" w:rsidRPr="006252B9">
        <w:rPr>
          <w:rFonts w:ascii="Cambria" w:hAnsi="Cambria" w:cs="Arial"/>
          <w:i/>
          <w:iCs/>
          <w:lang w:val="en-US"/>
        </w:rPr>
        <w:t>Adverse drug reactions: definitions, diagnosis, and management.</w:t>
      </w:r>
    </w:p>
    <w:p w:rsidR="001E06F3" w:rsidRPr="006252B9" w:rsidRDefault="00310022" w:rsidP="00310022">
      <w:pPr>
        <w:widowControl w:val="0"/>
        <w:autoSpaceDE w:val="0"/>
        <w:autoSpaceDN w:val="0"/>
        <w:adjustRightInd w:val="0"/>
        <w:spacing w:after="0"/>
        <w:rPr>
          <w:rFonts w:ascii="Cambria" w:hAnsi="Cambria" w:cs="Arial"/>
          <w:sz w:val="22"/>
          <w:szCs w:val="22"/>
          <w:u w:color="262626"/>
          <w:lang w:val="en-US"/>
        </w:rPr>
      </w:pPr>
      <w:r w:rsidRPr="006252B9">
        <w:rPr>
          <w:rFonts w:ascii="Cambria" w:hAnsi="Cambria" w:cs="Arial"/>
          <w:i/>
          <w:iCs/>
          <w:color w:val="262626"/>
          <w:u w:val="single" w:color="262626"/>
          <w:lang w:val="en-US"/>
        </w:rPr>
        <w:t xml:space="preserve"> </w:t>
      </w:r>
      <w:r w:rsidR="001E06F3" w:rsidRPr="006252B9">
        <w:rPr>
          <w:rFonts w:ascii="Cambria" w:hAnsi="Cambria" w:cs="Arial"/>
          <w:i/>
          <w:iCs/>
          <w:color w:val="262626"/>
          <w:u w:val="single" w:color="262626"/>
          <w:lang w:val="en-US"/>
        </w:rPr>
        <w:t>Lancet.</w:t>
      </w:r>
      <w:r w:rsidR="001E06F3" w:rsidRPr="006252B9">
        <w:rPr>
          <w:rFonts w:ascii="Cambria" w:hAnsi="Cambria" w:cs="Arial"/>
          <w:i/>
          <w:iCs/>
          <w:u w:color="262626"/>
          <w:lang w:val="en-US"/>
        </w:rPr>
        <w:t xml:space="preserve"> 2000 Oct 7;356(9237):1255-9</w:t>
      </w:r>
      <w:r w:rsidRPr="006252B9">
        <w:rPr>
          <w:rFonts w:ascii="Cambria" w:hAnsi="Cambria" w:cs="Arial"/>
          <w:sz w:val="22"/>
          <w:szCs w:val="22"/>
          <w:u w:color="262626"/>
          <w:lang w:val="en-US"/>
        </w:rPr>
        <w:t>)</w:t>
      </w:r>
      <w:r w:rsidR="009D3AD0">
        <w:rPr>
          <w:rFonts w:ascii="Cambria" w:hAnsi="Cambria" w:cs="Arial"/>
          <w:sz w:val="22"/>
          <w:szCs w:val="22"/>
          <w:u w:color="262626"/>
          <w:lang w:val="en-US"/>
        </w:rPr>
        <w:t xml:space="preserve"> </w:t>
      </w:r>
    </w:p>
    <w:p w:rsidR="005A2711" w:rsidRDefault="005A2711" w:rsidP="00F26B08">
      <w:pPr>
        <w:widowControl w:val="0"/>
        <w:autoSpaceDE w:val="0"/>
        <w:autoSpaceDN w:val="0"/>
        <w:adjustRightInd w:val="0"/>
        <w:spacing w:after="240" w:line="300" w:lineRule="atLeast"/>
        <w:rPr>
          <w:rFonts w:ascii="Cambria" w:hAnsi="Cambria" w:cs="Times"/>
          <w:sz w:val="28"/>
          <w:szCs w:val="28"/>
          <w:lang w:val="en-US"/>
        </w:rPr>
      </w:pPr>
    </w:p>
    <w:p w:rsidR="003D168A" w:rsidRPr="00891A74" w:rsidRDefault="003D168A" w:rsidP="00F26B08">
      <w:pPr>
        <w:widowControl w:val="0"/>
        <w:autoSpaceDE w:val="0"/>
        <w:autoSpaceDN w:val="0"/>
        <w:adjustRightInd w:val="0"/>
        <w:spacing w:after="240" w:line="300" w:lineRule="atLeast"/>
        <w:rPr>
          <w:rFonts w:ascii="Cambria" w:hAnsi="Cambria" w:cs="Times"/>
          <w:b/>
          <w:bCs/>
          <w:sz w:val="28"/>
          <w:szCs w:val="28"/>
          <w:lang w:val="en-US"/>
        </w:rPr>
      </w:pPr>
      <w:r w:rsidRPr="00891A74">
        <w:rPr>
          <w:rFonts w:ascii="Cambria" w:hAnsi="Cambria" w:cs="Times"/>
          <w:b/>
          <w:bCs/>
          <w:sz w:val="28"/>
          <w:szCs w:val="28"/>
          <w:lang w:val="en-US"/>
        </w:rPr>
        <w:t>Sample size and power calculation:</w:t>
      </w:r>
    </w:p>
    <w:p w:rsidR="0048438A" w:rsidRDefault="00B86C8D" w:rsidP="005E2C07">
      <w:pPr>
        <w:pStyle w:val="p1"/>
        <w:rPr>
          <w:rFonts w:asciiTheme="minorHAnsi" w:hAnsiTheme="minorHAnsi" w:cs="Helvetica Neue"/>
          <w:color w:val="000000" w:themeColor="text1"/>
          <w:sz w:val="28"/>
          <w:szCs w:val="28"/>
          <w:lang w:val="en-US"/>
        </w:rPr>
      </w:pPr>
      <w:r>
        <w:rPr>
          <w:rFonts w:ascii="Cambria" w:hAnsi="Cambria" w:cs="Times"/>
          <w:color w:val="000000" w:themeColor="text1"/>
          <w:sz w:val="28"/>
          <w:szCs w:val="28"/>
          <w:lang w:val="en-US"/>
        </w:rPr>
        <w:t xml:space="preserve">There is </w:t>
      </w:r>
      <w:r w:rsidR="009D3AD0">
        <w:rPr>
          <w:rFonts w:ascii="Cambria" w:hAnsi="Cambria" w:cs="Times"/>
          <w:color w:val="000000" w:themeColor="text1"/>
          <w:sz w:val="28"/>
          <w:szCs w:val="28"/>
          <w:lang w:val="en-US"/>
        </w:rPr>
        <w:t xml:space="preserve">a </w:t>
      </w:r>
      <w:r>
        <w:rPr>
          <w:rFonts w:ascii="Cambria" w:hAnsi="Cambria" w:cs="Times"/>
          <w:color w:val="000000" w:themeColor="text1"/>
          <w:sz w:val="28"/>
          <w:szCs w:val="28"/>
          <w:lang w:val="en-US"/>
        </w:rPr>
        <w:t>paucity of evidence in regard</w:t>
      </w:r>
      <w:r w:rsidR="00C93C10">
        <w:rPr>
          <w:rFonts w:ascii="Cambria" w:hAnsi="Cambria" w:cs="Times"/>
          <w:color w:val="000000" w:themeColor="text1"/>
          <w:sz w:val="28"/>
          <w:szCs w:val="28"/>
          <w:lang w:val="en-US"/>
        </w:rPr>
        <w:t>s</w:t>
      </w:r>
      <w:r>
        <w:rPr>
          <w:rFonts w:ascii="Cambria" w:hAnsi="Cambria" w:cs="Times"/>
          <w:color w:val="000000" w:themeColor="text1"/>
          <w:sz w:val="28"/>
          <w:szCs w:val="28"/>
          <w:lang w:val="en-US"/>
        </w:rPr>
        <w:t xml:space="preserve"> to</w:t>
      </w:r>
      <w:r w:rsidR="005F53F1">
        <w:rPr>
          <w:rFonts w:ascii="Cambria" w:hAnsi="Cambria" w:cs="Times"/>
          <w:color w:val="000000" w:themeColor="text1"/>
          <w:sz w:val="28"/>
          <w:szCs w:val="28"/>
          <w:lang w:val="en-US"/>
        </w:rPr>
        <w:t xml:space="preserve"> </w:t>
      </w:r>
      <w:r>
        <w:rPr>
          <w:rFonts w:ascii="Cambria" w:hAnsi="Cambria" w:cs="Times"/>
          <w:color w:val="000000" w:themeColor="text1"/>
          <w:sz w:val="28"/>
          <w:szCs w:val="28"/>
          <w:lang w:val="en-US"/>
        </w:rPr>
        <w:t>the efficacy of nitrofurantoin versus Hiprex in preventing rUTIs. Mos</w:t>
      </w:r>
      <w:r w:rsidR="00891A74">
        <w:rPr>
          <w:rFonts w:ascii="Cambria" w:hAnsi="Cambria" w:cs="Times"/>
          <w:color w:val="000000" w:themeColor="text1"/>
          <w:sz w:val="28"/>
          <w:szCs w:val="28"/>
          <w:lang w:val="en-US"/>
        </w:rPr>
        <w:t xml:space="preserve">t </w:t>
      </w:r>
      <w:r w:rsidR="00716A08">
        <w:rPr>
          <w:rFonts w:ascii="Cambria" w:hAnsi="Cambria" w:cs="Times"/>
          <w:color w:val="000000" w:themeColor="text1"/>
          <w:sz w:val="28"/>
          <w:szCs w:val="28"/>
          <w:lang w:val="en-US"/>
        </w:rPr>
        <w:t>studies</w:t>
      </w:r>
      <w:r w:rsidR="005E2C07">
        <w:rPr>
          <w:rFonts w:ascii="Cambria" w:hAnsi="Cambria" w:cs="Times"/>
          <w:color w:val="000000" w:themeColor="text1"/>
          <w:sz w:val="28"/>
          <w:szCs w:val="28"/>
          <w:lang w:val="en-US"/>
        </w:rPr>
        <w:t xml:space="preserve"> </w:t>
      </w:r>
      <w:r w:rsidR="005F53F1">
        <w:rPr>
          <w:rFonts w:ascii="Cambria" w:hAnsi="Cambria" w:cs="Times"/>
          <w:color w:val="000000" w:themeColor="text1"/>
          <w:sz w:val="28"/>
          <w:szCs w:val="28"/>
          <w:lang w:val="en-US"/>
        </w:rPr>
        <w:t xml:space="preserve">comparing these two medications date from the </w:t>
      </w:r>
      <w:r w:rsidR="00716A08">
        <w:rPr>
          <w:rFonts w:ascii="Cambria" w:hAnsi="Cambria" w:cs="Times"/>
          <w:color w:val="000000" w:themeColor="text1"/>
          <w:sz w:val="28"/>
          <w:szCs w:val="28"/>
          <w:lang w:val="en-US"/>
        </w:rPr>
        <w:t>1980</w:t>
      </w:r>
      <w:r w:rsidR="00891A74">
        <w:rPr>
          <w:rFonts w:ascii="Cambria" w:hAnsi="Cambria" w:cs="Times"/>
          <w:color w:val="000000" w:themeColor="text1"/>
          <w:sz w:val="28"/>
          <w:szCs w:val="28"/>
          <w:lang w:val="en-US"/>
        </w:rPr>
        <w:t>s</w:t>
      </w:r>
      <w:r>
        <w:rPr>
          <w:rFonts w:ascii="Cambria" w:hAnsi="Cambria" w:cs="Times"/>
          <w:color w:val="000000" w:themeColor="text1"/>
          <w:sz w:val="28"/>
          <w:szCs w:val="28"/>
          <w:lang w:val="en-US"/>
        </w:rPr>
        <w:t>.</w:t>
      </w:r>
      <w:r w:rsidR="00891A74">
        <w:rPr>
          <w:rFonts w:ascii="Cambria" w:hAnsi="Cambria" w:cs="Times"/>
          <w:color w:val="000000" w:themeColor="text1"/>
          <w:sz w:val="28"/>
          <w:szCs w:val="28"/>
          <w:lang w:val="en-US"/>
        </w:rPr>
        <w:t xml:space="preserve"> </w:t>
      </w:r>
      <w:r w:rsidR="005F53F1">
        <w:rPr>
          <w:rFonts w:ascii="Cambria" w:hAnsi="Cambria" w:cs="Times"/>
          <w:color w:val="000000" w:themeColor="text1"/>
          <w:sz w:val="28"/>
          <w:szCs w:val="28"/>
          <w:lang w:val="en-US"/>
        </w:rPr>
        <w:t xml:space="preserve">Three RCTs were used (15-17) </w:t>
      </w:r>
      <w:r w:rsidR="00C93C10">
        <w:rPr>
          <w:rFonts w:ascii="Cambria" w:hAnsi="Cambria" w:cs="Times"/>
          <w:color w:val="000000" w:themeColor="text1"/>
          <w:sz w:val="28"/>
          <w:szCs w:val="28"/>
          <w:lang w:val="en-US"/>
        </w:rPr>
        <w:t>to</w:t>
      </w:r>
      <w:r w:rsidR="005F53F1">
        <w:rPr>
          <w:rFonts w:ascii="Cambria" w:hAnsi="Cambria" w:cs="Times"/>
          <w:color w:val="000000" w:themeColor="text1"/>
          <w:sz w:val="28"/>
          <w:szCs w:val="28"/>
          <w:lang w:val="en-US"/>
        </w:rPr>
        <w:t xml:space="preserve"> </w:t>
      </w:r>
      <w:r w:rsidR="00891A74">
        <w:rPr>
          <w:rFonts w:ascii="Cambria" w:hAnsi="Cambria" w:cs="Times"/>
          <w:color w:val="000000" w:themeColor="text1"/>
          <w:sz w:val="28"/>
          <w:szCs w:val="28"/>
          <w:lang w:val="en-US"/>
        </w:rPr>
        <w:t>calculat</w:t>
      </w:r>
      <w:r w:rsidR="005F53F1">
        <w:rPr>
          <w:rFonts w:ascii="Cambria" w:hAnsi="Cambria" w:cs="Times"/>
          <w:color w:val="000000" w:themeColor="text1"/>
          <w:sz w:val="28"/>
          <w:szCs w:val="28"/>
          <w:lang w:val="en-US"/>
        </w:rPr>
        <w:t>e the</w:t>
      </w:r>
      <w:r w:rsidR="00891A74">
        <w:rPr>
          <w:rFonts w:ascii="Cambria" w:hAnsi="Cambria" w:cs="Times"/>
          <w:color w:val="000000" w:themeColor="text1"/>
          <w:sz w:val="28"/>
          <w:szCs w:val="28"/>
          <w:lang w:val="en-US"/>
        </w:rPr>
        <w:t xml:space="preserve"> sample size and power for this study</w:t>
      </w:r>
      <w:r w:rsidR="007B6733">
        <w:rPr>
          <w:rFonts w:ascii="Cambria" w:hAnsi="Cambria" w:cs="Times"/>
          <w:color w:val="000000" w:themeColor="text1"/>
          <w:sz w:val="28"/>
          <w:szCs w:val="28"/>
          <w:lang w:val="en-US"/>
        </w:rPr>
        <w:t xml:space="preserve">, </w:t>
      </w:r>
      <w:r w:rsidR="0023093D" w:rsidRPr="0023093D">
        <w:rPr>
          <w:rFonts w:ascii="Cambria" w:hAnsi="Cambria" w:cs="Times"/>
          <w:color w:val="000000" w:themeColor="text1"/>
          <w:sz w:val="28"/>
          <w:szCs w:val="28"/>
          <w:lang w:val="en-US"/>
        </w:rPr>
        <w:t xml:space="preserve">Sample size and power calculation was performed using an online software from </w:t>
      </w:r>
      <w:r w:rsidR="0023093D" w:rsidRPr="0023093D">
        <w:rPr>
          <w:rFonts w:ascii="Cambria" w:hAnsi="Cambria" w:cs="Helvetica Neue"/>
          <w:color w:val="000000" w:themeColor="text1"/>
          <w:sz w:val="28"/>
          <w:szCs w:val="28"/>
          <w:lang w:val="en-US"/>
        </w:rPr>
        <w:t>Sealed Envelope Ltd. 2012</w:t>
      </w:r>
      <w:r w:rsidR="005F53F1">
        <w:rPr>
          <w:rFonts w:ascii="Cambria" w:hAnsi="Cambria" w:cs="Helvetica Neue"/>
          <w:color w:val="000000" w:themeColor="text1"/>
          <w:sz w:val="28"/>
          <w:szCs w:val="28"/>
          <w:lang w:val="en-US"/>
        </w:rPr>
        <w:t xml:space="preserve"> and </w:t>
      </w:r>
      <w:r w:rsidR="0023093D" w:rsidRPr="0023093D">
        <w:rPr>
          <w:rFonts w:ascii="Cambria" w:hAnsi="Cambria" w:cs="Helvetica Neue"/>
          <w:color w:val="000000" w:themeColor="text1"/>
          <w:sz w:val="28"/>
          <w:szCs w:val="28"/>
          <w:lang w:val="en-US"/>
        </w:rPr>
        <w:t xml:space="preserve">Power </w:t>
      </w:r>
      <w:r w:rsidR="0023093D" w:rsidRPr="005E2C07">
        <w:rPr>
          <w:rFonts w:asciiTheme="minorHAnsi" w:hAnsiTheme="minorHAnsi" w:cs="Helvetica Neue"/>
          <w:color w:val="000000" w:themeColor="text1"/>
          <w:sz w:val="28"/>
          <w:szCs w:val="28"/>
          <w:lang w:val="en-US"/>
        </w:rPr>
        <w:t xml:space="preserve">calculator for </w:t>
      </w:r>
      <w:r w:rsidR="005F53F1">
        <w:rPr>
          <w:rFonts w:asciiTheme="minorHAnsi" w:hAnsiTheme="minorHAnsi" w:cs="Helvetica Neue"/>
          <w:color w:val="000000" w:themeColor="text1"/>
          <w:sz w:val="28"/>
          <w:szCs w:val="28"/>
          <w:lang w:val="en-US"/>
        </w:rPr>
        <w:t xml:space="preserve">a </w:t>
      </w:r>
      <w:r w:rsidR="0023093D" w:rsidRPr="005E2C07">
        <w:rPr>
          <w:rFonts w:asciiTheme="minorHAnsi" w:hAnsiTheme="minorHAnsi" w:cs="Helvetica Neue"/>
          <w:color w:val="000000" w:themeColor="text1"/>
          <w:sz w:val="28"/>
          <w:szCs w:val="28"/>
          <w:lang w:val="en-US"/>
        </w:rPr>
        <w:t xml:space="preserve">binary outcome </w:t>
      </w:r>
      <w:r w:rsidR="005E2C07" w:rsidRPr="005E2C07">
        <w:rPr>
          <w:rFonts w:asciiTheme="minorHAnsi" w:hAnsiTheme="minorHAnsi" w:cs="Helvetica Neue"/>
          <w:color w:val="000000" w:themeColor="text1"/>
          <w:sz w:val="28"/>
          <w:szCs w:val="28"/>
          <w:lang w:val="en-US"/>
        </w:rPr>
        <w:t>non-inferiority</w:t>
      </w:r>
      <w:r w:rsidR="0023093D" w:rsidRPr="005E2C07">
        <w:rPr>
          <w:rFonts w:asciiTheme="minorHAnsi" w:hAnsiTheme="minorHAnsi" w:cs="Helvetica Neue"/>
          <w:color w:val="000000" w:themeColor="text1"/>
          <w:sz w:val="28"/>
          <w:szCs w:val="28"/>
          <w:lang w:val="en-US"/>
        </w:rPr>
        <w:t xml:space="preserve"> trial.</w:t>
      </w:r>
      <w:r w:rsidR="00891A74" w:rsidRPr="005E2C07">
        <w:rPr>
          <w:rFonts w:asciiTheme="minorHAnsi" w:hAnsiTheme="minorHAnsi" w:cs="Helvetica Neue"/>
          <w:color w:val="000000" w:themeColor="text1"/>
          <w:sz w:val="28"/>
          <w:szCs w:val="28"/>
          <w:lang w:val="en-US"/>
        </w:rPr>
        <w:t xml:space="preserve"> (17</w:t>
      </w:r>
      <w:r w:rsidR="0023093D" w:rsidRPr="005E2C07">
        <w:rPr>
          <w:rFonts w:asciiTheme="minorHAnsi" w:hAnsiTheme="minorHAnsi" w:cs="Helvetica Neue"/>
          <w:color w:val="000000" w:themeColor="text1"/>
          <w:sz w:val="28"/>
          <w:szCs w:val="28"/>
          <w:lang w:val="en-US"/>
        </w:rPr>
        <w:t>)</w:t>
      </w:r>
      <w:r w:rsidR="008E6A5A" w:rsidRPr="005E2C07">
        <w:rPr>
          <w:rFonts w:asciiTheme="minorHAnsi" w:hAnsiTheme="minorHAnsi" w:cs="Helvetica Neue"/>
          <w:color w:val="000000" w:themeColor="text1"/>
          <w:sz w:val="28"/>
          <w:szCs w:val="28"/>
          <w:lang w:val="en-US"/>
        </w:rPr>
        <w:t xml:space="preserve"> </w:t>
      </w:r>
    </w:p>
    <w:p w:rsidR="005E2C07" w:rsidRDefault="005E2C07" w:rsidP="005E2C07">
      <w:pPr>
        <w:pStyle w:val="p1"/>
        <w:rPr>
          <w:rStyle w:val="s1"/>
        </w:rPr>
      </w:pPr>
      <w:r w:rsidRPr="005E2C07">
        <w:rPr>
          <w:rStyle w:val="s1"/>
          <w:rFonts w:asciiTheme="minorHAnsi" w:hAnsiTheme="minorHAnsi"/>
          <w:color w:val="000000" w:themeColor="text1"/>
          <w:sz w:val="28"/>
          <w:szCs w:val="28"/>
        </w:rPr>
        <w:t xml:space="preserve">We calculated </w:t>
      </w:r>
      <w:r w:rsidR="005F53F1">
        <w:rPr>
          <w:rStyle w:val="s1"/>
          <w:rFonts w:asciiTheme="minorHAnsi" w:hAnsiTheme="minorHAnsi"/>
          <w:color w:val="000000" w:themeColor="text1"/>
          <w:sz w:val="28"/>
          <w:szCs w:val="28"/>
        </w:rPr>
        <w:t xml:space="preserve">the </w:t>
      </w:r>
      <w:r w:rsidRPr="005E2C07">
        <w:rPr>
          <w:rStyle w:val="s1"/>
          <w:rFonts w:asciiTheme="minorHAnsi" w:hAnsiTheme="minorHAnsi"/>
          <w:color w:val="000000" w:themeColor="text1"/>
          <w:sz w:val="28"/>
          <w:szCs w:val="28"/>
        </w:rPr>
        <w:t xml:space="preserve">sample size for this non-inferiority study using an estimate of 60% success for the nitrofurantoin group and a 15% non-inferiority limit. With 5% alpha and </w:t>
      </w:r>
      <w:r w:rsidRPr="00DC10F3">
        <w:rPr>
          <w:rStyle w:val="s1"/>
          <w:rFonts w:asciiTheme="minorHAnsi" w:hAnsiTheme="minorHAnsi"/>
          <w:color w:val="000000" w:themeColor="text1"/>
          <w:sz w:val="28"/>
          <w:szCs w:val="28"/>
        </w:rPr>
        <w:t>80%</w:t>
      </w:r>
      <w:r w:rsidRPr="005E2C07">
        <w:rPr>
          <w:rStyle w:val="s1"/>
          <w:rFonts w:asciiTheme="minorHAnsi" w:hAnsiTheme="minorHAnsi"/>
          <w:color w:val="000000" w:themeColor="text1"/>
          <w:sz w:val="28"/>
          <w:szCs w:val="28"/>
        </w:rPr>
        <w:t xml:space="preserve"> power, we therefore require 264 patients (132 in each group)</w:t>
      </w:r>
      <w:r>
        <w:rPr>
          <w:rStyle w:val="s1"/>
          <w:rFonts w:asciiTheme="minorHAnsi" w:hAnsiTheme="minorHAnsi"/>
          <w:color w:val="000000" w:themeColor="text1"/>
          <w:sz w:val="28"/>
          <w:szCs w:val="28"/>
        </w:rPr>
        <w:t>.</w:t>
      </w:r>
    </w:p>
    <w:p w:rsidR="005E2C07" w:rsidRPr="005E2C07" w:rsidRDefault="005E2C07" w:rsidP="005E2C07">
      <w:pPr>
        <w:pStyle w:val="p1"/>
        <w:rPr>
          <w:rFonts w:asciiTheme="minorHAnsi" w:hAnsiTheme="minorHAnsi"/>
          <w:color w:val="000000" w:themeColor="text1"/>
          <w:sz w:val="28"/>
          <w:szCs w:val="28"/>
        </w:rPr>
      </w:pPr>
    </w:p>
    <w:p w:rsidR="005E2C07" w:rsidRPr="005E2C07" w:rsidRDefault="005E2C07" w:rsidP="005E2C07">
      <w:pPr>
        <w:pStyle w:val="p1"/>
        <w:rPr>
          <w:rFonts w:asciiTheme="minorHAnsi" w:hAnsiTheme="minorHAnsi"/>
          <w:color w:val="000000" w:themeColor="text1"/>
          <w:sz w:val="28"/>
          <w:szCs w:val="28"/>
        </w:rPr>
      </w:pPr>
      <w:r w:rsidRPr="005E2C07">
        <w:rPr>
          <w:rStyle w:val="s1"/>
          <w:rFonts w:asciiTheme="minorHAnsi" w:hAnsiTheme="minorHAnsi"/>
          <w:color w:val="000000" w:themeColor="text1"/>
          <w:sz w:val="28"/>
          <w:szCs w:val="28"/>
        </w:rPr>
        <w:t>The intention-to-treat (ITT) analysis approach, supported by the per-protocol approach, will be adopted to make inference on the p</w:t>
      </w:r>
      <w:r w:rsidR="0049580C">
        <w:rPr>
          <w:rStyle w:val="s1"/>
          <w:rFonts w:asciiTheme="minorHAnsi" w:hAnsiTheme="minorHAnsi"/>
          <w:color w:val="000000" w:themeColor="text1"/>
          <w:sz w:val="28"/>
          <w:szCs w:val="28"/>
        </w:rPr>
        <w:t>ossible non-inferiority of the H</w:t>
      </w:r>
      <w:r w:rsidRPr="005E2C07">
        <w:rPr>
          <w:rStyle w:val="s1"/>
          <w:rFonts w:asciiTheme="minorHAnsi" w:hAnsiTheme="minorHAnsi"/>
          <w:color w:val="000000" w:themeColor="text1"/>
          <w:sz w:val="28"/>
          <w:szCs w:val="28"/>
        </w:rPr>
        <w:t>iprex arm, compared to the nitrofurantoin arm, in terms of 6-month freedom from UTI recurrence. The proportions of patients with at least one UTI recurrence (with 95% CIs) in the 2 study arms will be calculated. Logistic regression with ‘treatment group’ as the only covariate will be employed to draw inference on t</w:t>
      </w:r>
      <w:r w:rsidR="0049580C">
        <w:rPr>
          <w:rStyle w:val="s1"/>
          <w:rFonts w:asciiTheme="minorHAnsi" w:hAnsiTheme="minorHAnsi"/>
          <w:color w:val="000000" w:themeColor="text1"/>
          <w:sz w:val="28"/>
          <w:szCs w:val="28"/>
        </w:rPr>
        <w:t>he possible non-inferiority of H</w:t>
      </w:r>
      <w:r w:rsidRPr="005E2C07">
        <w:rPr>
          <w:rStyle w:val="s1"/>
          <w:rFonts w:asciiTheme="minorHAnsi" w:hAnsiTheme="minorHAnsi"/>
          <w:color w:val="000000" w:themeColor="text1"/>
          <w:sz w:val="28"/>
          <w:szCs w:val="28"/>
        </w:rPr>
        <w:t>iprex treatment compared to the nitrofurantoin treatment. The odds ratio (with 95% CIs) will be calculated with the nitrofurantoin arm as the reference group. Appropriate parametric or non-parametric statistical techniques will be employed to analyse the data for secondary aims of the study.</w:t>
      </w:r>
    </w:p>
    <w:p w:rsidR="003D168A" w:rsidRDefault="003D168A" w:rsidP="005E2C07">
      <w:pPr>
        <w:widowControl w:val="0"/>
        <w:autoSpaceDE w:val="0"/>
        <w:autoSpaceDN w:val="0"/>
        <w:adjustRightInd w:val="0"/>
        <w:spacing w:after="240" w:line="300" w:lineRule="atLeast"/>
        <w:rPr>
          <w:rFonts w:ascii="Cambria" w:hAnsi="Cambria" w:cs="Helvetica Neue"/>
          <w:color w:val="0E0E0E"/>
          <w:sz w:val="28"/>
          <w:szCs w:val="28"/>
          <w:lang w:val="en-US"/>
        </w:rPr>
      </w:pPr>
    </w:p>
    <w:p w:rsidR="0090180D" w:rsidRDefault="0090180D" w:rsidP="00646485">
      <w:pPr>
        <w:widowControl w:val="0"/>
        <w:autoSpaceDE w:val="0"/>
        <w:autoSpaceDN w:val="0"/>
        <w:adjustRightInd w:val="0"/>
        <w:spacing w:after="240" w:line="300" w:lineRule="atLeast"/>
        <w:rPr>
          <w:rFonts w:ascii="Cambria" w:hAnsi="Cambria" w:cs="Helvetica Neue"/>
          <w:color w:val="0E0E0E"/>
          <w:sz w:val="28"/>
          <w:szCs w:val="28"/>
          <w:lang w:val="en-US"/>
        </w:rPr>
      </w:pPr>
    </w:p>
    <w:p w:rsidR="0090180D" w:rsidRPr="0090180D" w:rsidRDefault="0090180D" w:rsidP="00646485">
      <w:pPr>
        <w:widowControl w:val="0"/>
        <w:autoSpaceDE w:val="0"/>
        <w:autoSpaceDN w:val="0"/>
        <w:adjustRightInd w:val="0"/>
        <w:spacing w:after="240" w:line="300" w:lineRule="atLeast"/>
        <w:rPr>
          <w:rFonts w:ascii="Cambria" w:hAnsi="Cambria" w:cs="Helvetica Neue"/>
          <w:b/>
          <w:bCs/>
          <w:color w:val="0E0E0E"/>
          <w:sz w:val="28"/>
          <w:szCs w:val="28"/>
          <w:lang w:val="en-US"/>
        </w:rPr>
      </w:pPr>
      <w:r w:rsidRPr="0090180D">
        <w:rPr>
          <w:rFonts w:ascii="Cambria" w:hAnsi="Cambria" w:cs="Helvetica Neue"/>
          <w:b/>
          <w:bCs/>
          <w:color w:val="0E0E0E"/>
          <w:sz w:val="28"/>
          <w:szCs w:val="28"/>
          <w:lang w:val="en-US"/>
        </w:rPr>
        <w:t>Plain language summary:</w:t>
      </w:r>
    </w:p>
    <w:p w:rsidR="00B1265B" w:rsidRDefault="0090180D" w:rsidP="00470096">
      <w:pPr>
        <w:widowControl w:val="0"/>
        <w:autoSpaceDE w:val="0"/>
        <w:autoSpaceDN w:val="0"/>
        <w:adjustRightInd w:val="0"/>
        <w:spacing w:after="240" w:line="300" w:lineRule="atLeast"/>
        <w:rPr>
          <w:rFonts w:ascii="Cambria" w:hAnsi="Cambria" w:cs="Helvetica Neue"/>
          <w:color w:val="0E0E0E"/>
          <w:sz w:val="28"/>
          <w:szCs w:val="28"/>
          <w:lang w:val="en-US"/>
        </w:rPr>
      </w:pPr>
      <w:r>
        <w:rPr>
          <w:rFonts w:ascii="Cambria" w:hAnsi="Cambria" w:cs="Helvetica Neue"/>
          <w:color w:val="0E0E0E"/>
          <w:sz w:val="28"/>
          <w:szCs w:val="28"/>
          <w:lang w:val="en-US"/>
        </w:rPr>
        <w:t>Bladder infections (urinary tract infections or UTI) are amongst the most common infections in women. It is estimated that almost 50% of women will experience at least one episode of UTI in their life time and almost 44% will experience a recurrence within 6 months. These infections can be very troublesome and cause</w:t>
      </w:r>
      <w:r w:rsidR="00B1265B">
        <w:rPr>
          <w:rFonts w:ascii="Cambria" w:hAnsi="Cambria" w:cs="Helvetica Neue"/>
          <w:color w:val="0E0E0E"/>
          <w:sz w:val="28"/>
          <w:szCs w:val="28"/>
          <w:lang w:val="en-US"/>
        </w:rPr>
        <w:t xml:space="preserve"> issues like</w:t>
      </w:r>
      <w:r>
        <w:rPr>
          <w:rFonts w:ascii="Cambria" w:hAnsi="Cambria" w:cs="Helvetica Neue"/>
          <w:color w:val="0E0E0E"/>
          <w:sz w:val="28"/>
          <w:szCs w:val="28"/>
          <w:lang w:val="en-US"/>
        </w:rPr>
        <w:t xml:space="preserve"> burning sensation when </w:t>
      </w:r>
      <w:r w:rsidR="009039A5">
        <w:rPr>
          <w:rFonts w:ascii="Cambria" w:hAnsi="Cambria" w:cs="Helvetica Neue"/>
          <w:color w:val="0E0E0E"/>
          <w:sz w:val="28"/>
          <w:szCs w:val="28"/>
          <w:lang w:val="en-US"/>
        </w:rPr>
        <w:t>urinating</w:t>
      </w:r>
      <w:r>
        <w:rPr>
          <w:rFonts w:ascii="Cambria" w:hAnsi="Cambria" w:cs="Helvetica Neue"/>
          <w:color w:val="0E0E0E"/>
          <w:sz w:val="28"/>
          <w:szCs w:val="28"/>
          <w:lang w:val="en-US"/>
        </w:rPr>
        <w:t xml:space="preserve"> or going very frequently</w:t>
      </w:r>
      <w:r w:rsidR="009039A5">
        <w:rPr>
          <w:rFonts w:ascii="Cambria" w:hAnsi="Cambria" w:cs="Helvetica Neue"/>
          <w:color w:val="0E0E0E"/>
          <w:sz w:val="28"/>
          <w:szCs w:val="28"/>
          <w:lang w:val="en-US"/>
        </w:rPr>
        <w:t xml:space="preserve"> to pass urine, lower abdominal pain, nausea and vomiting, tiredness, days lost from work and sometimes admission to hospitals. </w:t>
      </w:r>
    </w:p>
    <w:p w:rsidR="004C1D74" w:rsidRDefault="009039A5" w:rsidP="004D7B4B">
      <w:pPr>
        <w:widowControl w:val="0"/>
        <w:autoSpaceDE w:val="0"/>
        <w:autoSpaceDN w:val="0"/>
        <w:adjustRightInd w:val="0"/>
        <w:spacing w:after="240" w:line="300" w:lineRule="atLeast"/>
        <w:rPr>
          <w:rFonts w:ascii="Cambria" w:hAnsi="Cambria"/>
          <w:sz w:val="28"/>
          <w:szCs w:val="28"/>
        </w:rPr>
      </w:pPr>
      <w:r>
        <w:rPr>
          <w:rFonts w:ascii="Cambria" w:hAnsi="Cambria" w:cs="Helvetica Neue"/>
          <w:color w:val="0E0E0E"/>
          <w:sz w:val="28"/>
          <w:szCs w:val="28"/>
          <w:lang w:val="en-US"/>
        </w:rPr>
        <w:t>While treatments are available to treat these infections, som</w:t>
      </w:r>
      <w:r w:rsidR="00B1265B">
        <w:rPr>
          <w:rFonts w:ascii="Cambria" w:hAnsi="Cambria" w:cs="Helvetica Neue"/>
          <w:color w:val="0E0E0E"/>
          <w:sz w:val="28"/>
          <w:szCs w:val="28"/>
          <w:lang w:val="en-US"/>
        </w:rPr>
        <w:t>e women will experience several</w:t>
      </w:r>
      <w:r>
        <w:rPr>
          <w:rFonts w:ascii="Cambria" w:hAnsi="Cambria" w:cs="Helvetica Neue"/>
          <w:color w:val="0E0E0E"/>
          <w:sz w:val="28"/>
          <w:szCs w:val="28"/>
          <w:lang w:val="en-US"/>
        </w:rPr>
        <w:t xml:space="preserve"> UTI during a year. These women may benefit from preventive treatments. In this </w:t>
      </w:r>
      <w:r w:rsidR="00470096">
        <w:rPr>
          <w:rFonts w:ascii="Cambria" w:hAnsi="Cambria" w:cs="Helvetica Neue"/>
          <w:color w:val="0E0E0E"/>
          <w:sz w:val="28"/>
          <w:szCs w:val="28"/>
          <w:lang w:val="en-US"/>
        </w:rPr>
        <w:t>study,</w:t>
      </w:r>
      <w:r>
        <w:rPr>
          <w:rFonts w:ascii="Cambria" w:hAnsi="Cambria" w:cs="Helvetica Neue"/>
          <w:color w:val="0E0E0E"/>
          <w:sz w:val="28"/>
          <w:szCs w:val="28"/>
          <w:lang w:val="en-US"/>
        </w:rPr>
        <w:t xml:space="preserve"> we are planning to use </w:t>
      </w:r>
      <w:r w:rsidRPr="006252B9">
        <w:rPr>
          <w:rFonts w:ascii="Cambria" w:hAnsi="Cambria"/>
          <w:sz w:val="28"/>
          <w:szCs w:val="28"/>
        </w:rPr>
        <w:t>Methenamine Hippurate</w:t>
      </w:r>
      <w:r>
        <w:rPr>
          <w:rFonts w:ascii="Cambria" w:hAnsi="Cambria"/>
          <w:sz w:val="28"/>
          <w:szCs w:val="28"/>
        </w:rPr>
        <w:t xml:space="preserve"> or </w:t>
      </w:r>
      <w:r w:rsidRPr="006252B9">
        <w:rPr>
          <w:rFonts w:ascii="Cambria" w:hAnsi="Cambria"/>
          <w:sz w:val="28"/>
          <w:szCs w:val="28"/>
        </w:rPr>
        <w:t>Hiprex</w:t>
      </w:r>
      <w:r>
        <w:rPr>
          <w:rFonts w:ascii="Cambria" w:hAnsi="Cambria"/>
          <w:sz w:val="28"/>
          <w:szCs w:val="28"/>
        </w:rPr>
        <w:t xml:space="preserve"> </w:t>
      </w:r>
      <w:r w:rsidR="005F53F1">
        <w:rPr>
          <w:rFonts w:ascii="Cambria" w:hAnsi="Cambria"/>
          <w:sz w:val="28"/>
          <w:szCs w:val="28"/>
        </w:rPr>
        <w:t>which</w:t>
      </w:r>
      <w:r>
        <w:rPr>
          <w:rFonts w:ascii="Cambria" w:hAnsi="Cambria"/>
          <w:sz w:val="28"/>
          <w:szCs w:val="28"/>
        </w:rPr>
        <w:t xml:space="preserve"> break</w:t>
      </w:r>
      <w:r w:rsidR="005F53F1">
        <w:rPr>
          <w:rFonts w:ascii="Cambria" w:hAnsi="Cambria"/>
          <w:sz w:val="28"/>
          <w:szCs w:val="28"/>
        </w:rPr>
        <w:t xml:space="preserve">s </w:t>
      </w:r>
      <w:r>
        <w:rPr>
          <w:rFonts w:ascii="Cambria" w:hAnsi="Cambria"/>
          <w:sz w:val="28"/>
          <w:szCs w:val="28"/>
        </w:rPr>
        <w:t>down to a specific chemical in the bladder which can stop the bacteria grow</w:t>
      </w:r>
      <w:r w:rsidR="005F53F1">
        <w:rPr>
          <w:rFonts w:ascii="Cambria" w:hAnsi="Cambria"/>
          <w:sz w:val="28"/>
          <w:szCs w:val="28"/>
        </w:rPr>
        <w:t>ing</w:t>
      </w:r>
      <w:r>
        <w:rPr>
          <w:rFonts w:ascii="Cambria" w:hAnsi="Cambria"/>
          <w:sz w:val="28"/>
          <w:szCs w:val="28"/>
        </w:rPr>
        <w:t xml:space="preserve"> in the bladder</w:t>
      </w:r>
      <w:r w:rsidR="005F53F1">
        <w:rPr>
          <w:rFonts w:ascii="Cambria" w:hAnsi="Cambria"/>
          <w:sz w:val="28"/>
          <w:szCs w:val="28"/>
        </w:rPr>
        <w:t>; it is not an antibiotic</w:t>
      </w:r>
      <w:r>
        <w:rPr>
          <w:rFonts w:ascii="Cambria" w:hAnsi="Cambria"/>
          <w:sz w:val="28"/>
          <w:szCs w:val="28"/>
        </w:rPr>
        <w:t xml:space="preserve">. </w:t>
      </w:r>
    </w:p>
    <w:p w:rsidR="0090180D" w:rsidRDefault="009039A5" w:rsidP="004D7B4B">
      <w:pPr>
        <w:widowControl w:val="0"/>
        <w:autoSpaceDE w:val="0"/>
        <w:autoSpaceDN w:val="0"/>
        <w:adjustRightInd w:val="0"/>
        <w:spacing w:after="240" w:line="300" w:lineRule="atLeast"/>
        <w:rPr>
          <w:rFonts w:ascii="Cambria" w:hAnsi="Cambria"/>
          <w:sz w:val="28"/>
          <w:szCs w:val="28"/>
        </w:rPr>
      </w:pPr>
      <w:r>
        <w:rPr>
          <w:rFonts w:ascii="Cambria" w:hAnsi="Cambria"/>
          <w:sz w:val="28"/>
          <w:szCs w:val="28"/>
        </w:rPr>
        <w:t xml:space="preserve">The rationale in </w:t>
      </w:r>
      <w:r w:rsidR="005F53F1">
        <w:rPr>
          <w:rFonts w:ascii="Cambria" w:hAnsi="Cambria"/>
          <w:sz w:val="28"/>
          <w:szCs w:val="28"/>
        </w:rPr>
        <w:t>us</w:t>
      </w:r>
      <w:r>
        <w:rPr>
          <w:rFonts w:ascii="Cambria" w:hAnsi="Cambria"/>
          <w:sz w:val="28"/>
          <w:szCs w:val="28"/>
        </w:rPr>
        <w:t xml:space="preserve">ing this medication is that to date there has been no bacterial resistance reported to Hiprex and generally it is a well-tolerated medication with </w:t>
      </w:r>
      <w:r w:rsidR="005F53F1">
        <w:rPr>
          <w:rFonts w:ascii="Cambria" w:hAnsi="Cambria"/>
          <w:sz w:val="28"/>
          <w:szCs w:val="28"/>
        </w:rPr>
        <w:t xml:space="preserve">a </w:t>
      </w:r>
      <w:r>
        <w:rPr>
          <w:rFonts w:ascii="Cambria" w:hAnsi="Cambria"/>
          <w:sz w:val="28"/>
          <w:szCs w:val="28"/>
        </w:rPr>
        <w:t xml:space="preserve">low side effect profile. </w:t>
      </w:r>
      <w:r w:rsidR="004D7B4B">
        <w:rPr>
          <w:rFonts w:ascii="Cambria" w:hAnsi="Cambria"/>
          <w:sz w:val="28"/>
          <w:szCs w:val="28"/>
        </w:rPr>
        <w:t>I</w:t>
      </w:r>
      <w:r w:rsidR="000C0114">
        <w:rPr>
          <w:rFonts w:ascii="Cambria" w:hAnsi="Cambria"/>
          <w:sz w:val="28"/>
          <w:szCs w:val="28"/>
        </w:rPr>
        <w:t xml:space="preserve">n this study, we will </w:t>
      </w:r>
      <w:r>
        <w:rPr>
          <w:rFonts w:ascii="Cambria" w:hAnsi="Cambria"/>
          <w:sz w:val="28"/>
          <w:szCs w:val="28"/>
        </w:rPr>
        <w:t xml:space="preserve">compare </w:t>
      </w:r>
      <w:r w:rsidR="004D7B4B">
        <w:rPr>
          <w:rFonts w:ascii="Cambria" w:hAnsi="Cambria"/>
          <w:sz w:val="28"/>
          <w:szCs w:val="28"/>
        </w:rPr>
        <w:t>Hiprex</w:t>
      </w:r>
      <w:r>
        <w:rPr>
          <w:rFonts w:ascii="Cambria" w:hAnsi="Cambria"/>
          <w:sz w:val="28"/>
          <w:szCs w:val="28"/>
        </w:rPr>
        <w:t xml:space="preserve"> to nitrofurantoin, an antibiotic used for many years to treat and prevent UTI. </w:t>
      </w:r>
      <w:r w:rsidR="004D7B4B">
        <w:rPr>
          <w:rFonts w:ascii="Cambria" w:hAnsi="Cambria"/>
          <w:sz w:val="28"/>
          <w:szCs w:val="28"/>
        </w:rPr>
        <w:t>While effective</w:t>
      </w:r>
      <w:r w:rsidR="000C0114">
        <w:rPr>
          <w:rFonts w:ascii="Cambria" w:hAnsi="Cambria"/>
          <w:sz w:val="28"/>
          <w:szCs w:val="28"/>
        </w:rPr>
        <w:t>, nitrofurantoin has the same implications as other anti</w:t>
      </w:r>
      <w:r w:rsidR="004C1D74">
        <w:rPr>
          <w:rFonts w:ascii="Cambria" w:hAnsi="Cambria"/>
          <w:sz w:val="28"/>
          <w:szCs w:val="28"/>
        </w:rPr>
        <w:t>biotics when used long-term which are</w:t>
      </w:r>
      <w:r w:rsidR="000C0114">
        <w:rPr>
          <w:rFonts w:ascii="Cambria" w:hAnsi="Cambria"/>
          <w:sz w:val="28"/>
          <w:szCs w:val="28"/>
        </w:rPr>
        <w:t xml:space="preserve"> resistance and side effects.</w:t>
      </w:r>
    </w:p>
    <w:p w:rsidR="004C1D74" w:rsidRPr="0023093D" w:rsidRDefault="004C1D74" w:rsidP="004D7B4B">
      <w:pPr>
        <w:widowControl w:val="0"/>
        <w:autoSpaceDE w:val="0"/>
        <w:autoSpaceDN w:val="0"/>
        <w:adjustRightInd w:val="0"/>
        <w:spacing w:after="240" w:line="300" w:lineRule="atLeast"/>
        <w:rPr>
          <w:rFonts w:ascii="Cambria" w:hAnsi="Cambria" w:cs="Times"/>
          <w:color w:val="000000" w:themeColor="text1"/>
          <w:sz w:val="28"/>
          <w:szCs w:val="28"/>
          <w:lang w:val="en-US"/>
        </w:rPr>
      </w:pPr>
    </w:p>
    <w:p w:rsidR="00AB31A2" w:rsidRPr="004C1D74" w:rsidRDefault="00AB31A2">
      <w:pPr>
        <w:rPr>
          <w:rFonts w:ascii="Cambria" w:hAnsi="Cambria"/>
          <w:b/>
          <w:bCs/>
          <w:sz w:val="28"/>
          <w:szCs w:val="28"/>
        </w:rPr>
      </w:pPr>
      <w:r w:rsidRPr="004C1D74">
        <w:rPr>
          <w:rFonts w:ascii="Cambria" w:hAnsi="Cambria"/>
          <w:b/>
          <w:bCs/>
          <w:sz w:val="28"/>
          <w:szCs w:val="28"/>
        </w:rPr>
        <w:t xml:space="preserve"> </w:t>
      </w:r>
      <w:r w:rsidR="00882DE5" w:rsidRPr="004C1D74">
        <w:rPr>
          <w:rFonts w:ascii="Cambria" w:hAnsi="Cambria"/>
          <w:b/>
          <w:bCs/>
          <w:sz w:val="28"/>
          <w:szCs w:val="28"/>
        </w:rPr>
        <w:t>References:</w:t>
      </w:r>
    </w:p>
    <w:p w:rsidR="00882DE5" w:rsidRPr="0014346A" w:rsidRDefault="00882DE5" w:rsidP="00882DE5">
      <w:pPr>
        <w:pStyle w:val="ListParagraph"/>
        <w:widowControl w:val="0"/>
        <w:numPr>
          <w:ilvl w:val="0"/>
          <w:numId w:val="5"/>
        </w:numPr>
        <w:autoSpaceDE w:val="0"/>
        <w:autoSpaceDN w:val="0"/>
        <w:adjustRightInd w:val="0"/>
        <w:spacing w:after="240" w:line="340" w:lineRule="atLeast"/>
        <w:rPr>
          <w:rFonts w:ascii="Cambria" w:hAnsi="Cambria" w:cs="Times New Roman"/>
          <w:lang w:val="en-US"/>
        </w:rPr>
      </w:pPr>
      <w:r w:rsidRPr="0014346A">
        <w:rPr>
          <w:rFonts w:ascii="Cambria" w:hAnsi="Cambria" w:cs="Helvetica Neue"/>
          <w:lang w:val="en-US"/>
        </w:rPr>
        <w:t xml:space="preserve">Thomas R. Jarvis, Lewis Chan, Thomas Gottlieb. Assessment and management of lower urinary </w:t>
      </w:r>
      <w:r w:rsidR="004C3B55">
        <w:rPr>
          <w:rFonts w:ascii="Cambria" w:hAnsi="Cambria" w:cs="Helvetica Neue"/>
          <w:lang w:val="en-US"/>
        </w:rPr>
        <w:t>t</w:t>
      </w:r>
      <w:r w:rsidRPr="0014346A">
        <w:rPr>
          <w:rFonts w:ascii="Cambria" w:hAnsi="Cambria" w:cs="Helvetica Neue"/>
          <w:lang w:val="en-US"/>
        </w:rPr>
        <w:t>ract infection in adults. Australian prescriber. Volume 37, Issue 1, February 2014, PP 7-9</w:t>
      </w:r>
    </w:p>
    <w:p w:rsidR="00882DE5" w:rsidRPr="0014346A" w:rsidRDefault="00882DE5" w:rsidP="00882DE5">
      <w:pPr>
        <w:pStyle w:val="ListParagraph"/>
        <w:widowControl w:val="0"/>
        <w:numPr>
          <w:ilvl w:val="0"/>
          <w:numId w:val="5"/>
        </w:numPr>
        <w:autoSpaceDE w:val="0"/>
        <w:autoSpaceDN w:val="0"/>
        <w:adjustRightInd w:val="0"/>
        <w:spacing w:after="240" w:line="340" w:lineRule="atLeast"/>
        <w:rPr>
          <w:rFonts w:ascii="Cambria" w:hAnsi="Cambria" w:cs="Times"/>
          <w:lang w:val="en-US"/>
        </w:rPr>
      </w:pPr>
      <w:r w:rsidRPr="0014346A">
        <w:rPr>
          <w:rFonts w:ascii="Cambria" w:hAnsi="Cambria" w:cs="Times New Roman"/>
          <w:lang w:val="en-US"/>
        </w:rPr>
        <w:t xml:space="preserve">Albert X, Huertas I, Pereiro, II, Sanfelix J, Gosalbes V, Perrota C. Antibiotics for preventing recurrent urinary tract infection in non-pregnant women. Cochrane Database Syst Rev 2004;3:CD001209. [PubMed: 15266443] </w:t>
      </w:r>
    </w:p>
    <w:p w:rsidR="00882DE5" w:rsidRPr="0014346A" w:rsidRDefault="00882DE5" w:rsidP="00882DE5">
      <w:pPr>
        <w:pStyle w:val="ListParagraph"/>
        <w:widowControl w:val="0"/>
        <w:numPr>
          <w:ilvl w:val="0"/>
          <w:numId w:val="5"/>
        </w:numPr>
        <w:autoSpaceDE w:val="0"/>
        <w:autoSpaceDN w:val="0"/>
        <w:adjustRightInd w:val="0"/>
        <w:spacing w:after="240" w:line="340" w:lineRule="atLeast"/>
        <w:rPr>
          <w:rFonts w:ascii="Cambria" w:hAnsi="Cambria" w:cs="Times"/>
          <w:lang w:val="en-US"/>
        </w:rPr>
      </w:pPr>
      <w:r w:rsidRPr="0014346A">
        <w:rPr>
          <w:rFonts w:ascii="Cambria" w:hAnsi="Cambria" w:cs="Times New Roman"/>
          <w:lang w:val="en-US"/>
        </w:rPr>
        <w:t xml:space="preserve">Fihn SD. Clinical practice. Acute uncomplicated urinary tract infection in women. N Engl J Med 2003;349:259-66. [PubMed: 12867610] </w:t>
      </w:r>
    </w:p>
    <w:p w:rsidR="00882DE5" w:rsidRPr="0014346A" w:rsidRDefault="00882DE5" w:rsidP="00882DE5">
      <w:pPr>
        <w:pStyle w:val="ListParagraph"/>
        <w:widowControl w:val="0"/>
        <w:numPr>
          <w:ilvl w:val="0"/>
          <w:numId w:val="5"/>
        </w:numPr>
        <w:autoSpaceDE w:val="0"/>
        <w:autoSpaceDN w:val="0"/>
        <w:adjustRightInd w:val="0"/>
        <w:spacing w:after="240" w:line="340" w:lineRule="atLeast"/>
        <w:rPr>
          <w:rFonts w:ascii="Cambria" w:hAnsi="Cambria" w:cs="Times"/>
          <w:lang w:val="en-US"/>
        </w:rPr>
      </w:pPr>
      <w:r w:rsidRPr="0014346A">
        <w:rPr>
          <w:rFonts w:ascii="Cambria" w:hAnsi="Cambria" w:cs="Times New Roman"/>
          <w:lang w:val="en-US"/>
        </w:rPr>
        <w:t xml:space="preserve">Gupta K, Hooton TM, Roberts PL, Stamm WE. Patient-initiated treatment of uncomplicated recurrent urinary tract infections in young women. Ann Intern Med 2001;135:9-16. [PubMed: 11434727] </w:t>
      </w:r>
    </w:p>
    <w:p w:rsidR="00882DE5" w:rsidRPr="0014346A" w:rsidRDefault="00882DE5" w:rsidP="00882DE5">
      <w:pPr>
        <w:pStyle w:val="ListParagraph"/>
        <w:widowControl w:val="0"/>
        <w:numPr>
          <w:ilvl w:val="0"/>
          <w:numId w:val="5"/>
        </w:numPr>
        <w:autoSpaceDE w:val="0"/>
        <w:autoSpaceDN w:val="0"/>
        <w:adjustRightInd w:val="0"/>
        <w:spacing w:after="240" w:line="340" w:lineRule="atLeast"/>
        <w:rPr>
          <w:rFonts w:ascii="Cambria" w:hAnsi="Cambria" w:cs="Times"/>
          <w:lang w:val="en-US"/>
        </w:rPr>
      </w:pPr>
      <w:r w:rsidRPr="0014346A">
        <w:rPr>
          <w:rFonts w:ascii="Cambria" w:hAnsi="Cambria" w:cs="Times New Roman"/>
          <w:lang w:val="en-US"/>
        </w:rPr>
        <w:t xml:space="preserve">Scholes D, Hooton TM, Roberts PL, Stapleton AE, Gupta K, Stamm WE. Risk factors for recurrent urinary tract infection in young women. J Infect Dis 2000;182:1177-82. [PubMed: 10979915] </w:t>
      </w:r>
    </w:p>
    <w:p w:rsidR="00D305AE" w:rsidRPr="0014346A" w:rsidRDefault="00D305AE" w:rsidP="00D305AE">
      <w:pPr>
        <w:pStyle w:val="ListParagraph"/>
        <w:widowControl w:val="0"/>
        <w:numPr>
          <w:ilvl w:val="0"/>
          <w:numId w:val="5"/>
        </w:numPr>
        <w:autoSpaceDE w:val="0"/>
        <w:autoSpaceDN w:val="0"/>
        <w:adjustRightInd w:val="0"/>
        <w:spacing w:after="240" w:line="340" w:lineRule="atLeast"/>
        <w:rPr>
          <w:rFonts w:ascii="Cambria" w:hAnsi="Cambria" w:cs="Times"/>
          <w:lang w:val="en-US"/>
        </w:rPr>
      </w:pPr>
      <w:r w:rsidRPr="0014346A">
        <w:rPr>
          <w:rFonts w:ascii="Cambria" w:hAnsi="Cambria" w:cs="Times New Roman"/>
          <w:lang w:val="en-US"/>
        </w:rPr>
        <w:t xml:space="preserve">5. Stapleton A. Prevention of recurrent urinary-tract infections in women. Lancet 1999;353:7-8. [PubMed: 10023942] </w:t>
      </w:r>
    </w:p>
    <w:p w:rsidR="0014346A" w:rsidRPr="0014346A" w:rsidRDefault="00D305AE" w:rsidP="0014346A">
      <w:pPr>
        <w:pStyle w:val="ListParagraph"/>
        <w:widowControl w:val="0"/>
        <w:numPr>
          <w:ilvl w:val="0"/>
          <w:numId w:val="5"/>
        </w:numPr>
        <w:autoSpaceDE w:val="0"/>
        <w:autoSpaceDN w:val="0"/>
        <w:adjustRightInd w:val="0"/>
        <w:spacing w:after="240" w:line="340" w:lineRule="atLeast"/>
        <w:rPr>
          <w:rFonts w:ascii="Cambria" w:hAnsi="Cambria" w:cs="Times"/>
          <w:lang w:val="en-US"/>
        </w:rPr>
      </w:pPr>
      <w:r w:rsidRPr="0014346A">
        <w:rPr>
          <w:rFonts w:ascii="Cambria" w:hAnsi="Cambria" w:cs="Times New Roman"/>
          <w:lang w:val="en-US"/>
        </w:rPr>
        <w:t xml:space="preserve">6. Stapleton A, Latham RH, Johnson C, Stamm WE. Postcoital antimicrobial prophylaxis for recurrent urinary tract infection. A randomized, double-blind, placebo-controlled trial. JAMA 1990;264:703-6. [PubMed: 2197450] </w:t>
      </w:r>
    </w:p>
    <w:p w:rsidR="0014346A" w:rsidRDefault="004E51B2" w:rsidP="0014346A">
      <w:pPr>
        <w:pStyle w:val="ListParagraph"/>
        <w:widowControl w:val="0"/>
        <w:numPr>
          <w:ilvl w:val="0"/>
          <w:numId w:val="5"/>
        </w:numPr>
        <w:autoSpaceDE w:val="0"/>
        <w:autoSpaceDN w:val="0"/>
        <w:adjustRightInd w:val="0"/>
        <w:spacing w:after="240" w:line="340" w:lineRule="atLeast"/>
        <w:rPr>
          <w:rFonts w:ascii="Cambria" w:hAnsi="Cambria" w:cs="Times"/>
          <w:lang w:val="en-US"/>
        </w:rPr>
      </w:pPr>
      <w:r w:rsidRPr="0014346A">
        <w:rPr>
          <w:rFonts w:ascii="Cambria" w:hAnsi="Cambria" w:cs="Times"/>
          <w:lang w:val="en-US"/>
        </w:rPr>
        <w:t xml:space="preserve">Foxman B, Gillespie B, Koopman J, et </w:t>
      </w:r>
      <w:r w:rsidR="004C3B55">
        <w:rPr>
          <w:rFonts w:ascii="Cambria" w:hAnsi="Cambria" w:cs="Times"/>
          <w:lang w:val="en-US"/>
        </w:rPr>
        <w:t>al. Risk fac</w:t>
      </w:r>
      <w:r w:rsidRPr="0014346A">
        <w:rPr>
          <w:rFonts w:ascii="Cambria" w:hAnsi="Cambria" w:cs="Times"/>
          <w:lang w:val="en-US"/>
        </w:rPr>
        <w:t>tors for second urinary tract infection among college women. Am J Epidemiol. 2000;151:1194-1205.</w:t>
      </w:r>
    </w:p>
    <w:p w:rsidR="004E51B2" w:rsidRPr="0014346A" w:rsidRDefault="004E51B2" w:rsidP="0014346A">
      <w:pPr>
        <w:pStyle w:val="ListParagraph"/>
        <w:widowControl w:val="0"/>
        <w:numPr>
          <w:ilvl w:val="0"/>
          <w:numId w:val="5"/>
        </w:numPr>
        <w:autoSpaceDE w:val="0"/>
        <w:autoSpaceDN w:val="0"/>
        <w:adjustRightInd w:val="0"/>
        <w:spacing w:after="240" w:line="340" w:lineRule="atLeast"/>
        <w:rPr>
          <w:rFonts w:ascii="Cambria" w:hAnsi="Cambria" w:cs="Times"/>
          <w:lang w:val="en-US"/>
        </w:rPr>
      </w:pPr>
      <w:r w:rsidRPr="0014346A">
        <w:rPr>
          <w:rFonts w:ascii="Cambria" w:hAnsi="Cambria" w:cs="Times"/>
          <w:lang w:val="en-US"/>
        </w:rPr>
        <w:t>Ikähelmo R, Siitone</w:t>
      </w:r>
      <w:r w:rsidR="004C3B55">
        <w:rPr>
          <w:rFonts w:ascii="Cambria" w:hAnsi="Cambria" w:cs="Times"/>
          <w:lang w:val="en-US"/>
        </w:rPr>
        <w:t>n A, Heiskanen T, et al. Recur</w:t>
      </w:r>
      <w:r w:rsidRPr="0014346A">
        <w:rPr>
          <w:rFonts w:ascii="Cambria" w:hAnsi="Cambria" w:cs="Times"/>
          <w:lang w:val="en-US"/>
        </w:rPr>
        <w:t>rence of urinary tract infection in a primary care setting: analysis of a 1-year follow-up of 179 women. Clin Infect Dis. 1996;22:91-99.</w:t>
      </w:r>
    </w:p>
    <w:p w:rsidR="00D305AE" w:rsidRPr="00891A74" w:rsidRDefault="00891A74" w:rsidP="00891A74">
      <w:pPr>
        <w:pStyle w:val="NoSpacing"/>
        <w:numPr>
          <w:ilvl w:val="0"/>
          <w:numId w:val="5"/>
        </w:numPr>
      </w:pPr>
      <w:r w:rsidRPr="0040485D">
        <w:t>Enrique Patricio Ubertazzi, Björn Wullt, José Tirán-Saucedo. I</w:t>
      </w:r>
      <w:r>
        <w:t xml:space="preserve">ntroduction to the burden of </w:t>
      </w:r>
      <w:r w:rsidRPr="0040485D">
        <w:t>recurrent cystitis and rationale for prevention. Narrative Summary of Selected Presentations given at the OM Pharma/Vifor Pharma URO-VAXOM® Summit, held i</w:t>
      </w:r>
      <w:r>
        <w:t>n Buenos Aires, Argentina, on 26th–27th</w:t>
      </w:r>
      <w:r w:rsidRPr="0040485D">
        <w:rPr>
          <w:position w:val="13"/>
        </w:rPr>
        <w:t xml:space="preserve"> </w:t>
      </w:r>
      <w:r w:rsidRPr="0040485D">
        <w:t xml:space="preserve">April 2014 . European Medical Journal EMJ Urol. 2014;1(Suppl 2):14-21. </w:t>
      </w:r>
    </w:p>
    <w:p w:rsidR="0014346A" w:rsidRPr="0014346A" w:rsidRDefault="0014346A" w:rsidP="0014346A">
      <w:pPr>
        <w:pStyle w:val="ListParagraph"/>
        <w:widowControl w:val="0"/>
        <w:numPr>
          <w:ilvl w:val="0"/>
          <w:numId w:val="5"/>
        </w:numPr>
        <w:autoSpaceDE w:val="0"/>
        <w:autoSpaceDN w:val="0"/>
        <w:adjustRightInd w:val="0"/>
        <w:spacing w:after="240" w:line="280" w:lineRule="atLeast"/>
        <w:rPr>
          <w:rFonts w:ascii="Cambria" w:hAnsi="Cambria" w:cs="Times"/>
          <w:lang w:val="en-US"/>
        </w:rPr>
      </w:pPr>
      <w:r w:rsidRPr="0014346A">
        <w:rPr>
          <w:rFonts w:ascii="Cambria" w:hAnsi="Cambria" w:cs="Times"/>
          <w:lang w:val="en-US"/>
        </w:rPr>
        <w:t xml:space="preserve">Lee BSB, Bhuta T, Simpson JM, Craig JC. Methenamine hippurate for preventing urinary tract infections. Cochrane Database of Systematic Reviews 2012, Issue 10. Art. No.: CD003265. DOI: 10.1002/14651858.CD003265.pub3. </w:t>
      </w:r>
    </w:p>
    <w:p w:rsidR="0014346A" w:rsidRPr="0014346A" w:rsidRDefault="0014346A" w:rsidP="00882DE5">
      <w:pPr>
        <w:pStyle w:val="ListParagraph"/>
        <w:widowControl w:val="0"/>
        <w:numPr>
          <w:ilvl w:val="0"/>
          <w:numId w:val="5"/>
        </w:numPr>
        <w:autoSpaceDE w:val="0"/>
        <w:autoSpaceDN w:val="0"/>
        <w:adjustRightInd w:val="0"/>
        <w:spacing w:after="240" w:line="340" w:lineRule="atLeast"/>
        <w:rPr>
          <w:rFonts w:ascii="Cambria" w:hAnsi="Cambria" w:cs="Times"/>
          <w:lang w:val="en-US"/>
        </w:rPr>
      </w:pPr>
      <w:r w:rsidRPr="0014346A">
        <w:rPr>
          <w:rFonts w:ascii="Cambria" w:hAnsi="Cambria"/>
        </w:rPr>
        <w:t>M. Grabe, R. Bartoletti, T.E. Bjerklund Johansen, T. Cai, M. Çek, B. Köves, K.G. Naber, R.S. Pickard, P. Tenke, F. Wagenlehner, B. Wullt. Guidelines on urological infections. European Association of Urology 2015</w:t>
      </w:r>
    </w:p>
    <w:p w:rsidR="0014346A" w:rsidRPr="0014346A" w:rsidRDefault="0014346A" w:rsidP="0014346A">
      <w:pPr>
        <w:pStyle w:val="ListParagraph"/>
        <w:widowControl w:val="0"/>
        <w:numPr>
          <w:ilvl w:val="0"/>
          <w:numId w:val="5"/>
        </w:numPr>
        <w:autoSpaceDE w:val="0"/>
        <w:autoSpaceDN w:val="0"/>
        <w:adjustRightInd w:val="0"/>
        <w:spacing w:after="240" w:line="340" w:lineRule="atLeast"/>
        <w:rPr>
          <w:rFonts w:ascii="Cambria" w:hAnsi="Cambria" w:cs="Times"/>
          <w:lang w:val="en-US"/>
        </w:rPr>
      </w:pPr>
      <w:r w:rsidRPr="0014346A">
        <w:rPr>
          <w:rFonts w:ascii="Cambria" w:hAnsi="Cambria"/>
        </w:rPr>
        <w:t>Rubin RH, Shapiro ED, Andriole VT et al. Evaluation of new anti- infective drugs for the treatment of urinary tract infection. Infectious Diseases Society of America and the Food and Drug Administration. Clinical infectious diseases: an official publication of the Infectious Diseases Society of America. 1992;15 Suppl 1:S216-27. Epub 1992/11/01</w:t>
      </w:r>
    </w:p>
    <w:p w:rsidR="0014346A" w:rsidRPr="002458A4" w:rsidRDefault="0014346A" w:rsidP="0014346A">
      <w:pPr>
        <w:pStyle w:val="ListParagraph"/>
        <w:widowControl w:val="0"/>
        <w:numPr>
          <w:ilvl w:val="0"/>
          <w:numId w:val="5"/>
        </w:numPr>
        <w:autoSpaceDE w:val="0"/>
        <w:autoSpaceDN w:val="0"/>
        <w:adjustRightInd w:val="0"/>
        <w:spacing w:after="240" w:line="340" w:lineRule="atLeast"/>
        <w:rPr>
          <w:rFonts w:ascii="Cambria" w:hAnsi="Cambria" w:cs="Times"/>
          <w:lang w:val="en-US"/>
        </w:rPr>
      </w:pPr>
      <w:r w:rsidRPr="0014346A">
        <w:rPr>
          <w:rFonts w:ascii="Cambria" w:hAnsi="Cambria" w:cs="Arial"/>
          <w:lang w:val="en-US"/>
        </w:rPr>
        <w:t xml:space="preserve">Adverse drug reactions: definitions, diagnosis, and management. </w:t>
      </w:r>
      <w:r w:rsidRPr="0014346A">
        <w:rPr>
          <w:rFonts w:ascii="Cambria" w:hAnsi="Cambria" w:cs="Arial"/>
          <w:color w:val="262626"/>
          <w:u w:val="single" w:color="262626"/>
          <w:lang w:val="en-US"/>
        </w:rPr>
        <w:t>Lancet.</w:t>
      </w:r>
      <w:r w:rsidRPr="0014346A">
        <w:rPr>
          <w:rFonts w:ascii="Cambria" w:hAnsi="Cambria" w:cs="Arial"/>
          <w:u w:color="262626"/>
          <w:lang w:val="en-US"/>
        </w:rPr>
        <w:t xml:space="preserve"> 2000 Oct 7;356(9237):1255-9</w:t>
      </w:r>
    </w:p>
    <w:p w:rsidR="007B6733" w:rsidRPr="007B6733" w:rsidRDefault="007B6733" w:rsidP="007B6733">
      <w:pPr>
        <w:pStyle w:val="ListParagraph"/>
        <w:widowControl w:val="0"/>
        <w:numPr>
          <w:ilvl w:val="0"/>
          <w:numId w:val="5"/>
        </w:numPr>
        <w:tabs>
          <w:tab w:val="left" w:pos="220"/>
          <w:tab w:val="left" w:pos="720"/>
        </w:tabs>
        <w:autoSpaceDE w:val="0"/>
        <w:autoSpaceDN w:val="0"/>
        <w:adjustRightInd w:val="0"/>
        <w:spacing w:after="186" w:line="200" w:lineRule="atLeast"/>
        <w:rPr>
          <w:rFonts w:ascii="Cambria" w:hAnsi="Cambria" w:cs="Times"/>
        </w:rPr>
      </w:pPr>
      <w:r w:rsidRPr="007B6733">
        <w:rPr>
          <w:rFonts w:ascii="Cambria" w:hAnsi="Cambria" w:cs="Times"/>
        </w:rPr>
        <w:t>Brumfitt W, Cooper</w:t>
      </w:r>
      <w:r w:rsidR="004C3B55">
        <w:rPr>
          <w:rFonts w:ascii="Cambria" w:hAnsi="Cambria" w:cs="Times"/>
        </w:rPr>
        <w:t xml:space="preserve"> J, Hamilton-Miller JM. Preven</w:t>
      </w:r>
      <w:r w:rsidRPr="007B6733">
        <w:rPr>
          <w:rFonts w:ascii="Cambria" w:hAnsi="Cambria" w:cs="Times"/>
        </w:rPr>
        <w:t>tion of recurrent urinary infections in women: a comparative trial bet</w:t>
      </w:r>
      <w:r w:rsidR="004C3B55">
        <w:rPr>
          <w:rFonts w:ascii="Cambria" w:hAnsi="Cambria" w:cs="Times"/>
        </w:rPr>
        <w:t>ween nitrofurantoin and methen</w:t>
      </w:r>
      <w:r w:rsidRPr="007B6733">
        <w:rPr>
          <w:rFonts w:ascii="Cambria" w:hAnsi="Cambria" w:cs="Times"/>
        </w:rPr>
        <w:t xml:space="preserve">amine hippurate. </w:t>
      </w:r>
      <w:r w:rsidRPr="007B6733">
        <w:rPr>
          <w:rFonts w:ascii="Cambria" w:hAnsi="Cambria" w:cs="Times"/>
          <w:i/>
          <w:iCs/>
        </w:rPr>
        <w:t>J Urol</w:t>
      </w:r>
      <w:r w:rsidRPr="007B6733">
        <w:rPr>
          <w:rFonts w:ascii="Cambria" w:hAnsi="Cambria" w:cs="Times"/>
        </w:rPr>
        <w:t xml:space="preserve">. 1981; 126:71-74. </w:t>
      </w:r>
      <w:r w:rsidRPr="007B6733">
        <w:rPr>
          <w:rFonts w:ascii="MS Mincho" w:eastAsia="MS Mincho" w:hAnsi="MS Mincho" w:cs="MS Mincho"/>
        </w:rPr>
        <w:t> </w:t>
      </w:r>
    </w:p>
    <w:p w:rsidR="007B6733" w:rsidRPr="007B6733" w:rsidRDefault="007B6733" w:rsidP="007B6733">
      <w:pPr>
        <w:pStyle w:val="ListParagraph"/>
        <w:widowControl w:val="0"/>
        <w:numPr>
          <w:ilvl w:val="0"/>
          <w:numId w:val="5"/>
        </w:numPr>
        <w:tabs>
          <w:tab w:val="left" w:pos="220"/>
          <w:tab w:val="left" w:pos="720"/>
        </w:tabs>
        <w:autoSpaceDE w:val="0"/>
        <w:autoSpaceDN w:val="0"/>
        <w:adjustRightInd w:val="0"/>
        <w:spacing w:after="186" w:line="200" w:lineRule="atLeast"/>
        <w:rPr>
          <w:rFonts w:ascii="Cambria" w:hAnsi="Cambria" w:cs="Times"/>
        </w:rPr>
      </w:pPr>
      <w:r w:rsidRPr="007B6733">
        <w:rPr>
          <w:rFonts w:ascii="Cambria" w:hAnsi="Cambria" w:cs="Times"/>
        </w:rPr>
        <w:t xml:space="preserve">Brumfitt W, Hamilton-Miller JM, Gargan RA, et al. Long-term prophylaxis of urinary infections in women: comparative </w:t>
      </w:r>
      <w:r w:rsidR="004C3B55">
        <w:rPr>
          <w:rFonts w:ascii="Cambria" w:hAnsi="Cambria" w:cs="Times"/>
        </w:rPr>
        <w:t>trial of trimethoprim, methena</w:t>
      </w:r>
      <w:r w:rsidRPr="007B6733">
        <w:rPr>
          <w:rFonts w:ascii="Cambria" w:hAnsi="Cambria" w:cs="Times"/>
        </w:rPr>
        <w:t xml:space="preserve">mine hippurate and topical povidone-iodine. </w:t>
      </w:r>
      <w:r w:rsidRPr="007B6733">
        <w:rPr>
          <w:rFonts w:ascii="Cambria" w:hAnsi="Cambria" w:cs="Times"/>
          <w:i/>
          <w:iCs/>
        </w:rPr>
        <w:t>J Urol</w:t>
      </w:r>
      <w:r w:rsidRPr="007B6733">
        <w:rPr>
          <w:rFonts w:ascii="Cambria" w:hAnsi="Cambria" w:cs="Times"/>
        </w:rPr>
        <w:t>. 1983; 130:1110-1114.</w:t>
      </w:r>
    </w:p>
    <w:p w:rsidR="005B557C" w:rsidRPr="007B6733" w:rsidRDefault="007B6733" w:rsidP="007B6733">
      <w:pPr>
        <w:pStyle w:val="NoSpacing"/>
        <w:numPr>
          <w:ilvl w:val="0"/>
          <w:numId w:val="5"/>
        </w:numPr>
        <w:rPr>
          <w:rFonts w:ascii="Cambria" w:hAnsi="Cambria" w:cs="Times"/>
        </w:rPr>
      </w:pPr>
      <w:r>
        <w:rPr>
          <w:rFonts w:ascii="Cambria" w:hAnsi="Cambria" w:cs="Times"/>
        </w:rPr>
        <w:t>Antero Kasanen, Seppo</w:t>
      </w:r>
      <w:r w:rsidRPr="001A512B">
        <w:rPr>
          <w:rFonts w:ascii="Cambria" w:hAnsi="Cambria" w:cs="Times"/>
        </w:rPr>
        <w:t xml:space="preserve"> Y. T. J</w:t>
      </w:r>
      <w:r>
        <w:rPr>
          <w:rFonts w:ascii="Cambria" w:hAnsi="Cambria" w:cs="Times"/>
        </w:rPr>
        <w:t>unnila, Esko</w:t>
      </w:r>
      <w:r w:rsidRPr="001A512B">
        <w:rPr>
          <w:rFonts w:ascii="Cambria" w:hAnsi="Cambria" w:cs="Times"/>
        </w:rPr>
        <w:t xml:space="preserve"> K</w:t>
      </w:r>
      <w:r>
        <w:rPr>
          <w:rFonts w:ascii="Cambria" w:hAnsi="Cambria" w:cs="Times"/>
        </w:rPr>
        <w:t>aarsalo</w:t>
      </w:r>
      <w:r w:rsidRPr="001A512B">
        <w:rPr>
          <w:rFonts w:ascii="Cambria" w:hAnsi="Cambria" w:cs="Times"/>
        </w:rPr>
        <w:t>, A</w:t>
      </w:r>
      <w:r>
        <w:rPr>
          <w:rFonts w:ascii="Cambria" w:hAnsi="Cambria" w:cs="Times"/>
        </w:rPr>
        <w:t>lajos</w:t>
      </w:r>
      <w:r w:rsidRPr="001A512B">
        <w:rPr>
          <w:rFonts w:ascii="Cambria" w:hAnsi="Cambria" w:cs="Times"/>
        </w:rPr>
        <w:t xml:space="preserve"> H</w:t>
      </w:r>
      <w:r>
        <w:rPr>
          <w:rFonts w:ascii="Cambria" w:hAnsi="Cambria" w:cs="Times"/>
        </w:rPr>
        <w:t>ajba</w:t>
      </w:r>
      <w:r w:rsidRPr="001A512B">
        <w:rPr>
          <w:rFonts w:ascii="Cambria" w:hAnsi="Cambria" w:cs="Times"/>
        </w:rPr>
        <w:t xml:space="preserve"> and H</w:t>
      </w:r>
      <w:r>
        <w:rPr>
          <w:rFonts w:ascii="Cambria" w:hAnsi="Cambria" w:cs="Times"/>
        </w:rPr>
        <w:t>annu</w:t>
      </w:r>
      <w:r w:rsidRPr="001A512B">
        <w:rPr>
          <w:rFonts w:ascii="Cambria" w:hAnsi="Cambria" w:cs="Times"/>
        </w:rPr>
        <w:t xml:space="preserve"> S</w:t>
      </w:r>
      <w:r>
        <w:rPr>
          <w:rFonts w:ascii="Cambria" w:hAnsi="Cambria" w:cs="Times"/>
        </w:rPr>
        <w:t>undquist</w:t>
      </w:r>
      <w:r w:rsidRPr="001A512B">
        <w:rPr>
          <w:rFonts w:ascii="Cambria" w:hAnsi="Cambria" w:cs="Times"/>
        </w:rPr>
        <w:t xml:space="preserve">. </w:t>
      </w:r>
      <w:r w:rsidRPr="001A512B">
        <w:rPr>
          <w:rFonts w:ascii="Cambria" w:hAnsi="Cambria"/>
        </w:rPr>
        <w:t xml:space="preserve">Secondary Prevention of Recurrent Urinary Tract Infections Comparison of the Effect of Placebo, Methenamine Hippurate, Nitrofurantoin and Trimethoprim Alone. Scandinavian journal </w:t>
      </w:r>
      <w:r>
        <w:rPr>
          <w:rFonts w:ascii="Cambria" w:hAnsi="Cambria"/>
        </w:rPr>
        <w:t xml:space="preserve">of infectious diseases 1982; </w:t>
      </w:r>
      <w:r w:rsidRPr="001A512B">
        <w:rPr>
          <w:rFonts w:ascii="Cambria" w:hAnsi="Cambria"/>
        </w:rPr>
        <w:t>14</w:t>
      </w:r>
      <w:r>
        <w:rPr>
          <w:rFonts w:ascii="Cambria" w:hAnsi="Cambria"/>
        </w:rPr>
        <w:t>:</w:t>
      </w:r>
      <w:r w:rsidRPr="001A512B">
        <w:rPr>
          <w:rFonts w:ascii="Cambria" w:hAnsi="Cambria"/>
        </w:rPr>
        <w:t xml:space="preserve"> 293-296</w:t>
      </w:r>
    </w:p>
    <w:p w:rsidR="00F87873" w:rsidRPr="00F87873" w:rsidRDefault="00F87873" w:rsidP="00F87873">
      <w:pPr>
        <w:pStyle w:val="ListParagraph"/>
        <w:numPr>
          <w:ilvl w:val="0"/>
          <w:numId w:val="5"/>
        </w:numPr>
        <w:spacing w:after="0"/>
        <w:rPr>
          <w:rFonts w:cs="Times New Roman"/>
          <w:color w:val="000000" w:themeColor="text1"/>
          <w:lang w:val="en-GB" w:eastAsia="en-GB"/>
        </w:rPr>
      </w:pPr>
      <w:r w:rsidRPr="00F87873">
        <w:rPr>
          <w:rFonts w:cs="Times New Roman"/>
          <w:color w:val="000000" w:themeColor="text1"/>
          <w:lang w:val="en-GB" w:eastAsia="en-GB"/>
        </w:rPr>
        <w:t>Sealed Envelope Ltd. 2012. Power calculator for binary outcome non-inferiority trial. [Online] Available from: https://www.sealedenvelope.com/power/binary-n</w:t>
      </w:r>
      <w:r>
        <w:rPr>
          <w:rFonts w:cs="Times New Roman"/>
          <w:color w:val="000000" w:themeColor="text1"/>
          <w:lang w:val="en-GB" w:eastAsia="en-GB"/>
        </w:rPr>
        <w:t>oninferior/ [Accessed Sat Feb 04</w:t>
      </w:r>
      <w:r w:rsidRPr="00F87873">
        <w:rPr>
          <w:rFonts w:cs="Times New Roman"/>
          <w:color w:val="000000" w:themeColor="text1"/>
          <w:lang w:val="en-GB" w:eastAsia="en-GB"/>
        </w:rPr>
        <w:t xml:space="preserve"> 2017]</w:t>
      </w:r>
    </w:p>
    <w:p w:rsidR="00882DE5" w:rsidRPr="006252B9" w:rsidRDefault="00882DE5">
      <w:pPr>
        <w:rPr>
          <w:rFonts w:ascii="Cambria" w:hAnsi="Cambria"/>
          <w:sz w:val="28"/>
          <w:szCs w:val="28"/>
        </w:rPr>
      </w:pPr>
    </w:p>
    <w:sectPr w:rsidR="00882DE5" w:rsidRPr="006252B9" w:rsidSect="00DE773E">
      <w:headerReference w:type="default" r:id="rId8"/>
      <w:footerReference w:type="even" r:id="rId9"/>
      <w:footerReference w:type="default" r:id="rId10"/>
      <w:pgSz w:w="11900" w:h="16840"/>
      <w:pgMar w:top="1440" w:right="1800" w:bottom="1440" w:left="1800" w:header="708" w:footer="708"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C3D" w:rsidRDefault="00AE0C3D" w:rsidP="000C0114">
      <w:pPr>
        <w:spacing w:after="0"/>
      </w:pPr>
      <w:r>
        <w:separator/>
      </w:r>
    </w:p>
  </w:endnote>
  <w:endnote w:type="continuationSeparator" w:id="0">
    <w:p w:rsidR="00AE0C3D" w:rsidRDefault="00AE0C3D" w:rsidP="000C011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C3D" w:rsidRDefault="00BE100E" w:rsidP="009D3AD0">
    <w:pPr>
      <w:pStyle w:val="Footer"/>
      <w:framePr w:wrap="none" w:vAnchor="text" w:hAnchor="margin" w:xAlign="right" w:y="1"/>
      <w:rPr>
        <w:rStyle w:val="PageNumber"/>
      </w:rPr>
    </w:pPr>
    <w:r>
      <w:rPr>
        <w:rStyle w:val="PageNumber"/>
      </w:rPr>
      <w:fldChar w:fldCharType="begin"/>
    </w:r>
    <w:r w:rsidR="00AE0C3D">
      <w:rPr>
        <w:rStyle w:val="PageNumber"/>
      </w:rPr>
      <w:instrText xml:space="preserve">PAGE  </w:instrText>
    </w:r>
    <w:r>
      <w:rPr>
        <w:rStyle w:val="PageNumber"/>
      </w:rPr>
      <w:fldChar w:fldCharType="end"/>
    </w:r>
  </w:p>
  <w:p w:rsidR="00AE0C3D" w:rsidRDefault="00AE0C3D" w:rsidP="000C0114">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C3D" w:rsidRDefault="00BE100E" w:rsidP="009D3AD0">
    <w:pPr>
      <w:pStyle w:val="Footer"/>
      <w:framePr w:wrap="none" w:vAnchor="text" w:hAnchor="margin" w:xAlign="right" w:y="1"/>
      <w:rPr>
        <w:rStyle w:val="PageNumber"/>
      </w:rPr>
    </w:pPr>
    <w:r>
      <w:rPr>
        <w:rStyle w:val="PageNumber"/>
      </w:rPr>
      <w:fldChar w:fldCharType="begin"/>
    </w:r>
    <w:r w:rsidR="00AE0C3D">
      <w:rPr>
        <w:rStyle w:val="PageNumber"/>
      </w:rPr>
      <w:instrText xml:space="preserve">PAGE  </w:instrText>
    </w:r>
    <w:r>
      <w:rPr>
        <w:rStyle w:val="PageNumber"/>
      </w:rPr>
      <w:fldChar w:fldCharType="separate"/>
    </w:r>
    <w:r w:rsidR="0001537A">
      <w:rPr>
        <w:rStyle w:val="PageNumber"/>
        <w:noProof/>
      </w:rPr>
      <w:t>4</w:t>
    </w:r>
    <w:r>
      <w:rPr>
        <w:rStyle w:val="PageNumber"/>
      </w:rPr>
      <w:fldChar w:fldCharType="end"/>
    </w:r>
  </w:p>
  <w:p w:rsidR="00AE0C3D" w:rsidRDefault="00AE0C3D" w:rsidP="000C0114">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C3D" w:rsidRDefault="00AE0C3D" w:rsidP="000C0114">
      <w:pPr>
        <w:spacing w:after="0"/>
      </w:pPr>
      <w:r>
        <w:separator/>
      </w:r>
    </w:p>
  </w:footnote>
  <w:footnote w:type="continuationSeparator" w:id="0">
    <w:p w:rsidR="00AE0C3D" w:rsidRDefault="00AE0C3D" w:rsidP="000C0114">
      <w:pPr>
        <w:spacing w:after="0"/>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C3D" w:rsidRDefault="00AE0C3D">
    <w:pPr>
      <w:pStyle w:val="Header"/>
    </w:pPr>
    <w:r>
      <w:t>Dr Payam Nikpoor</w:t>
    </w:r>
  </w:p>
  <w:p w:rsidR="00AE0C3D" w:rsidRDefault="00AE0C3D" w:rsidP="000C0114">
    <w:pPr>
      <w:pStyle w:val="Header"/>
    </w:pPr>
    <w:r>
      <w:t>Urogynaecology fellow, Mercy Hospital for Women</w:t>
    </w:r>
  </w:p>
  <w:p w:rsidR="00AE0C3D" w:rsidRDefault="00AE0C3D">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24D2AC1"/>
    <w:multiLevelType w:val="hybridMultilevel"/>
    <w:tmpl w:val="EA627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872E6B"/>
    <w:multiLevelType w:val="hybridMultilevel"/>
    <w:tmpl w:val="2752F65C"/>
    <w:lvl w:ilvl="0" w:tplc="A80EB110">
      <w:start w:val="1"/>
      <w:numFmt w:val="decimal"/>
      <w:lvlText w:val="%1."/>
      <w:lvlJc w:val="left"/>
      <w:pPr>
        <w:ind w:left="720" w:hanging="360"/>
      </w:pPr>
      <w:rPr>
        <w:rFonts w:ascii="Cambria" w:hAnsi="Cambria" w:cs="Helvetica Ne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C47E23"/>
    <w:multiLevelType w:val="hybridMultilevel"/>
    <w:tmpl w:val="2752F65C"/>
    <w:lvl w:ilvl="0" w:tplc="A80EB110">
      <w:start w:val="1"/>
      <w:numFmt w:val="decimal"/>
      <w:lvlText w:val="%1."/>
      <w:lvlJc w:val="left"/>
      <w:pPr>
        <w:ind w:left="720" w:hanging="360"/>
      </w:pPr>
      <w:rPr>
        <w:rFonts w:ascii="Cambria" w:hAnsi="Cambria" w:cs="Helvetica Neu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437AC9"/>
    <w:multiLevelType w:val="hybridMultilevel"/>
    <w:tmpl w:val="AB045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5D7B52"/>
    <w:multiLevelType w:val="hybridMultilevel"/>
    <w:tmpl w:val="A8AC4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4465A6"/>
    <w:multiLevelType w:val="multilevel"/>
    <w:tmpl w:val="A1E08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5"/>
  </w:num>
  <w:num w:numId="4">
    <w:abstractNumId w:val="6"/>
  </w:num>
  <w:num w:numId="5">
    <w:abstractNumId w:val="2"/>
  </w:num>
  <w:num w:numId="6">
    <w:abstractNumId w:val="0"/>
  </w:num>
  <w:num w:numId="7">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yam Nikpoor">
    <w15:presenceInfo w15:providerId="None" w15:userId="Payam Nikpo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rsids>
    <w:rsidRoot w:val="00AB31A2"/>
    <w:rsid w:val="0001537A"/>
    <w:rsid w:val="00021F87"/>
    <w:rsid w:val="00030FBF"/>
    <w:rsid w:val="00052087"/>
    <w:rsid w:val="000873EE"/>
    <w:rsid w:val="000A4EC2"/>
    <w:rsid w:val="000A5280"/>
    <w:rsid w:val="000B57BA"/>
    <w:rsid w:val="000C0114"/>
    <w:rsid w:val="000D7FEC"/>
    <w:rsid w:val="000F58B0"/>
    <w:rsid w:val="001373B8"/>
    <w:rsid w:val="0014346A"/>
    <w:rsid w:val="00160A4E"/>
    <w:rsid w:val="00181515"/>
    <w:rsid w:val="001913FF"/>
    <w:rsid w:val="00197ABE"/>
    <w:rsid w:val="001A52E9"/>
    <w:rsid w:val="001C725E"/>
    <w:rsid w:val="001D0512"/>
    <w:rsid w:val="001D37A1"/>
    <w:rsid w:val="001E06F3"/>
    <w:rsid w:val="001E76D0"/>
    <w:rsid w:val="0023093D"/>
    <w:rsid w:val="00231383"/>
    <w:rsid w:val="0023526C"/>
    <w:rsid w:val="002458A4"/>
    <w:rsid w:val="0025167D"/>
    <w:rsid w:val="00270DAF"/>
    <w:rsid w:val="002840B0"/>
    <w:rsid w:val="00287CAC"/>
    <w:rsid w:val="00297E2F"/>
    <w:rsid w:val="002A2DC3"/>
    <w:rsid w:val="002D185E"/>
    <w:rsid w:val="002F33BF"/>
    <w:rsid w:val="002F35DA"/>
    <w:rsid w:val="002F6992"/>
    <w:rsid w:val="00310022"/>
    <w:rsid w:val="00315FC8"/>
    <w:rsid w:val="00320D5D"/>
    <w:rsid w:val="00322DF9"/>
    <w:rsid w:val="00347CED"/>
    <w:rsid w:val="00354861"/>
    <w:rsid w:val="00364023"/>
    <w:rsid w:val="003862F0"/>
    <w:rsid w:val="003A74B6"/>
    <w:rsid w:val="003D168A"/>
    <w:rsid w:val="003D79EA"/>
    <w:rsid w:val="003F1680"/>
    <w:rsid w:val="003F29FB"/>
    <w:rsid w:val="004051D3"/>
    <w:rsid w:val="0041781E"/>
    <w:rsid w:val="004416FA"/>
    <w:rsid w:val="004474C5"/>
    <w:rsid w:val="00465021"/>
    <w:rsid w:val="00470096"/>
    <w:rsid w:val="0048438A"/>
    <w:rsid w:val="00490B36"/>
    <w:rsid w:val="00490BC2"/>
    <w:rsid w:val="0049580C"/>
    <w:rsid w:val="004C1D74"/>
    <w:rsid w:val="004C3B55"/>
    <w:rsid w:val="004D7B4B"/>
    <w:rsid w:val="004E1B19"/>
    <w:rsid w:val="004E51B2"/>
    <w:rsid w:val="004F5F9A"/>
    <w:rsid w:val="00502B1D"/>
    <w:rsid w:val="005032E3"/>
    <w:rsid w:val="00511BDF"/>
    <w:rsid w:val="00517385"/>
    <w:rsid w:val="005269A6"/>
    <w:rsid w:val="0053313E"/>
    <w:rsid w:val="00540FA8"/>
    <w:rsid w:val="0054308F"/>
    <w:rsid w:val="0058102F"/>
    <w:rsid w:val="005A2711"/>
    <w:rsid w:val="005B18B5"/>
    <w:rsid w:val="005B557C"/>
    <w:rsid w:val="005C0BE2"/>
    <w:rsid w:val="005E2C07"/>
    <w:rsid w:val="005F53F1"/>
    <w:rsid w:val="006252B9"/>
    <w:rsid w:val="00632F03"/>
    <w:rsid w:val="00646485"/>
    <w:rsid w:val="00652867"/>
    <w:rsid w:val="006630A9"/>
    <w:rsid w:val="00676283"/>
    <w:rsid w:val="006A01D1"/>
    <w:rsid w:val="006D4A0B"/>
    <w:rsid w:val="006E37F6"/>
    <w:rsid w:val="007124AC"/>
    <w:rsid w:val="00715761"/>
    <w:rsid w:val="00716A08"/>
    <w:rsid w:val="00754C3C"/>
    <w:rsid w:val="00755DA3"/>
    <w:rsid w:val="00793512"/>
    <w:rsid w:val="00797365"/>
    <w:rsid w:val="007B6733"/>
    <w:rsid w:val="007D2778"/>
    <w:rsid w:val="007F5373"/>
    <w:rsid w:val="007F56F4"/>
    <w:rsid w:val="008006CD"/>
    <w:rsid w:val="00813208"/>
    <w:rsid w:val="00832EDA"/>
    <w:rsid w:val="008427C9"/>
    <w:rsid w:val="00863D22"/>
    <w:rsid w:val="00882DE5"/>
    <w:rsid w:val="00891A74"/>
    <w:rsid w:val="008B6E02"/>
    <w:rsid w:val="008E6A5A"/>
    <w:rsid w:val="008F724A"/>
    <w:rsid w:val="0090180D"/>
    <w:rsid w:val="009039A5"/>
    <w:rsid w:val="00916D19"/>
    <w:rsid w:val="00925CDD"/>
    <w:rsid w:val="00936511"/>
    <w:rsid w:val="00940BC6"/>
    <w:rsid w:val="00945642"/>
    <w:rsid w:val="00976908"/>
    <w:rsid w:val="00993606"/>
    <w:rsid w:val="009A098A"/>
    <w:rsid w:val="009D3AD0"/>
    <w:rsid w:val="009D4857"/>
    <w:rsid w:val="009D4E0C"/>
    <w:rsid w:val="009F09A3"/>
    <w:rsid w:val="00A211A1"/>
    <w:rsid w:val="00A26F06"/>
    <w:rsid w:val="00A33565"/>
    <w:rsid w:val="00A367AF"/>
    <w:rsid w:val="00A4179E"/>
    <w:rsid w:val="00A45E98"/>
    <w:rsid w:val="00A65FC2"/>
    <w:rsid w:val="00A92422"/>
    <w:rsid w:val="00AA64C6"/>
    <w:rsid w:val="00AB31A2"/>
    <w:rsid w:val="00AB3D83"/>
    <w:rsid w:val="00AB4AA1"/>
    <w:rsid w:val="00AD057B"/>
    <w:rsid w:val="00AE0C3D"/>
    <w:rsid w:val="00AE49C2"/>
    <w:rsid w:val="00B101EB"/>
    <w:rsid w:val="00B10E2B"/>
    <w:rsid w:val="00B1265B"/>
    <w:rsid w:val="00B81E9F"/>
    <w:rsid w:val="00B86C8D"/>
    <w:rsid w:val="00B90824"/>
    <w:rsid w:val="00B93327"/>
    <w:rsid w:val="00B93974"/>
    <w:rsid w:val="00BA5FB0"/>
    <w:rsid w:val="00BC115C"/>
    <w:rsid w:val="00BE100E"/>
    <w:rsid w:val="00C00A46"/>
    <w:rsid w:val="00C176AB"/>
    <w:rsid w:val="00C47404"/>
    <w:rsid w:val="00C76F5C"/>
    <w:rsid w:val="00C93C10"/>
    <w:rsid w:val="00CA02F9"/>
    <w:rsid w:val="00CD5D9A"/>
    <w:rsid w:val="00CD66EE"/>
    <w:rsid w:val="00D136ED"/>
    <w:rsid w:val="00D305AE"/>
    <w:rsid w:val="00D31D86"/>
    <w:rsid w:val="00D54E19"/>
    <w:rsid w:val="00D90AA0"/>
    <w:rsid w:val="00D91A2B"/>
    <w:rsid w:val="00D971B3"/>
    <w:rsid w:val="00DB7500"/>
    <w:rsid w:val="00DC10F3"/>
    <w:rsid w:val="00DD5B24"/>
    <w:rsid w:val="00DE0BD6"/>
    <w:rsid w:val="00DE773E"/>
    <w:rsid w:val="00E03041"/>
    <w:rsid w:val="00E20BB0"/>
    <w:rsid w:val="00E27D14"/>
    <w:rsid w:val="00E35AC6"/>
    <w:rsid w:val="00E423B4"/>
    <w:rsid w:val="00E77F4F"/>
    <w:rsid w:val="00E80BFC"/>
    <w:rsid w:val="00EA1B3D"/>
    <w:rsid w:val="00EA411A"/>
    <w:rsid w:val="00EC1468"/>
    <w:rsid w:val="00ED19AA"/>
    <w:rsid w:val="00EE1C2C"/>
    <w:rsid w:val="00EE7BCF"/>
    <w:rsid w:val="00EF1E9A"/>
    <w:rsid w:val="00F26B08"/>
    <w:rsid w:val="00F31D1C"/>
    <w:rsid w:val="00F61AEA"/>
    <w:rsid w:val="00F702C6"/>
    <w:rsid w:val="00F80022"/>
    <w:rsid w:val="00F87873"/>
    <w:rsid w:val="00FA7426"/>
    <w:rsid w:val="00FB6C40"/>
    <w:rsid w:val="00FC3E0A"/>
    <w:rsid w:val="00FD106C"/>
    <w:rsid w:val="00FE1706"/>
  </w:rsids>
  <m:mathPr>
    <m:mathFont m:val="Abadi MT Condensed Light"/>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AU"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DAF"/>
  </w:style>
  <w:style w:type="paragraph" w:styleId="Heading1">
    <w:name w:val="heading 1"/>
    <w:basedOn w:val="Normal"/>
    <w:next w:val="Normal"/>
    <w:link w:val="Heading1Char"/>
    <w:uiPriority w:val="9"/>
    <w:qFormat/>
    <w:rsid w:val="000C01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C011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C0114"/>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754C3C"/>
    <w:pPr>
      <w:ind w:left="720"/>
      <w:contextualSpacing/>
    </w:pPr>
  </w:style>
  <w:style w:type="paragraph" w:styleId="NormalWeb">
    <w:name w:val="Normal (Web)"/>
    <w:basedOn w:val="Normal"/>
    <w:uiPriority w:val="99"/>
    <w:semiHidden/>
    <w:unhideWhenUsed/>
    <w:rsid w:val="0054308F"/>
    <w:pPr>
      <w:spacing w:before="100" w:beforeAutospacing="1" w:after="100" w:afterAutospacing="1"/>
    </w:pPr>
    <w:rPr>
      <w:rFonts w:ascii="Times New Roman" w:hAnsi="Times New Roman" w:cs="Times New Roman"/>
      <w:lang w:val="en-US"/>
    </w:rPr>
  </w:style>
  <w:style w:type="paragraph" w:styleId="NoSpacing">
    <w:name w:val="No Spacing"/>
    <w:uiPriority w:val="1"/>
    <w:qFormat/>
    <w:rsid w:val="00891A74"/>
    <w:pPr>
      <w:spacing w:after="0"/>
    </w:pPr>
    <w:rPr>
      <w:lang w:val="en-US"/>
    </w:rPr>
  </w:style>
  <w:style w:type="character" w:customStyle="1" w:styleId="Heading1Char">
    <w:name w:val="Heading 1 Char"/>
    <w:basedOn w:val="DefaultParagraphFont"/>
    <w:link w:val="Heading1"/>
    <w:uiPriority w:val="9"/>
    <w:rsid w:val="000C011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C011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C0114"/>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0C0114"/>
    <w:pPr>
      <w:tabs>
        <w:tab w:val="center" w:pos="4513"/>
        <w:tab w:val="right" w:pos="9026"/>
      </w:tabs>
      <w:spacing w:after="0"/>
    </w:pPr>
  </w:style>
  <w:style w:type="character" w:customStyle="1" w:styleId="HeaderChar">
    <w:name w:val="Header Char"/>
    <w:basedOn w:val="DefaultParagraphFont"/>
    <w:link w:val="Header"/>
    <w:uiPriority w:val="99"/>
    <w:rsid w:val="000C0114"/>
  </w:style>
  <w:style w:type="paragraph" w:styleId="Footer">
    <w:name w:val="footer"/>
    <w:basedOn w:val="Normal"/>
    <w:link w:val="FooterChar"/>
    <w:uiPriority w:val="99"/>
    <w:unhideWhenUsed/>
    <w:rsid w:val="000C0114"/>
    <w:pPr>
      <w:tabs>
        <w:tab w:val="center" w:pos="4513"/>
        <w:tab w:val="right" w:pos="9026"/>
      </w:tabs>
      <w:spacing w:after="0"/>
    </w:pPr>
  </w:style>
  <w:style w:type="character" w:customStyle="1" w:styleId="FooterChar">
    <w:name w:val="Footer Char"/>
    <w:basedOn w:val="DefaultParagraphFont"/>
    <w:link w:val="Footer"/>
    <w:uiPriority w:val="99"/>
    <w:rsid w:val="000C0114"/>
  </w:style>
  <w:style w:type="character" w:styleId="PageNumber">
    <w:name w:val="page number"/>
    <w:basedOn w:val="DefaultParagraphFont"/>
    <w:uiPriority w:val="99"/>
    <w:semiHidden/>
    <w:unhideWhenUsed/>
    <w:rsid w:val="000C0114"/>
  </w:style>
  <w:style w:type="paragraph" w:customStyle="1" w:styleId="p1">
    <w:name w:val="p1"/>
    <w:basedOn w:val="Normal"/>
    <w:rsid w:val="00C76F5C"/>
    <w:pPr>
      <w:spacing w:after="0"/>
    </w:pPr>
    <w:rPr>
      <w:rFonts w:ascii="Calibri" w:hAnsi="Calibri" w:cs="Times New Roman"/>
      <w:color w:val="1F497D"/>
      <w:sz w:val="22"/>
      <w:szCs w:val="22"/>
      <w:lang w:val="en-GB" w:eastAsia="en-GB"/>
    </w:rPr>
  </w:style>
  <w:style w:type="character" w:customStyle="1" w:styleId="s1">
    <w:name w:val="s1"/>
    <w:basedOn w:val="DefaultParagraphFont"/>
    <w:rsid w:val="00C76F5C"/>
  </w:style>
  <w:style w:type="character" w:styleId="CommentReference">
    <w:name w:val="annotation reference"/>
    <w:basedOn w:val="DefaultParagraphFont"/>
    <w:uiPriority w:val="99"/>
    <w:semiHidden/>
    <w:unhideWhenUsed/>
    <w:rsid w:val="00D91A2B"/>
    <w:rPr>
      <w:sz w:val="16"/>
      <w:szCs w:val="16"/>
    </w:rPr>
  </w:style>
  <w:style w:type="paragraph" w:styleId="CommentText">
    <w:name w:val="annotation text"/>
    <w:basedOn w:val="Normal"/>
    <w:link w:val="CommentTextChar"/>
    <w:uiPriority w:val="99"/>
    <w:semiHidden/>
    <w:unhideWhenUsed/>
    <w:rsid w:val="00D91A2B"/>
    <w:rPr>
      <w:sz w:val="20"/>
      <w:szCs w:val="20"/>
    </w:rPr>
  </w:style>
  <w:style w:type="character" w:customStyle="1" w:styleId="CommentTextChar">
    <w:name w:val="Comment Text Char"/>
    <w:basedOn w:val="DefaultParagraphFont"/>
    <w:link w:val="CommentText"/>
    <w:uiPriority w:val="99"/>
    <w:semiHidden/>
    <w:rsid w:val="00D91A2B"/>
    <w:rPr>
      <w:sz w:val="20"/>
      <w:szCs w:val="20"/>
    </w:rPr>
  </w:style>
  <w:style w:type="paragraph" w:styleId="CommentSubject">
    <w:name w:val="annotation subject"/>
    <w:basedOn w:val="CommentText"/>
    <w:next w:val="CommentText"/>
    <w:link w:val="CommentSubjectChar"/>
    <w:uiPriority w:val="99"/>
    <w:semiHidden/>
    <w:unhideWhenUsed/>
    <w:rsid w:val="00D91A2B"/>
    <w:rPr>
      <w:b/>
      <w:bCs/>
    </w:rPr>
  </w:style>
  <w:style w:type="character" w:customStyle="1" w:styleId="CommentSubjectChar">
    <w:name w:val="Comment Subject Char"/>
    <w:basedOn w:val="CommentTextChar"/>
    <w:link w:val="CommentSubject"/>
    <w:uiPriority w:val="99"/>
    <w:semiHidden/>
    <w:rsid w:val="00D91A2B"/>
    <w:rPr>
      <w:b/>
      <w:bCs/>
      <w:sz w:val="20"/>
      <w:szCs w:val="20"/>
    </w:rPr>
  </w:style>
  <w:style w:type="paragraph" w:styleId="BalloonText">
    <w:name w:val="Balloon Text"/>
    <w:basedOn w:val="Normal"/>
    <w:link w:val="BalloonTextChar"/>
    <w:uiPriority w:val="99"/>
    <w:semiHidden/>
    <w:unhideWhenUsed/>
    <w:rsid w:val="00D91A2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A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158221">
      <w:bodyDiv w:val="1"/>
      <w:marLeft w:val="0"/>
      <w:marRight w:val="0"/>
      <w:marTop w:val="0"/>
      <w:marBottom w:val="0"/>
      <w:divBdr>
        <w:top w:val="none" w:sz="0" w:space="0" w:color="auto"/>
        <w:left w:val="none" w:sz="0" w:space="0" w:color="auto"/>
        <w:bottom w:val="none" w:sz="0" w:space="0" w:color="auto"/>
        <w:right w:val="none" w:sz="0" w:space="0" w:color="auto"/>
      </w:divBdr>
      <w:divsChild>
        <w:div w:id="180977132">
          <w:marLeft w:val="0"/>
          <w:marRight w:val="0"/>
          <w:marTop w:val="0"/>
          <w:marBottom w:val="0"/>
          <w:divBdr>
            <w:top w:val="none" w:sz="0" w:space="0" w:color="auto"/>
            <w:left w:val="none" w:sz="0" w:space="0" w:color="auto"/>
            <w:bottom w:val="none" w:sz="0" w:space="0" w:color="auto"/>
            <w:right w:val="none" w:sz="0" w:space="0" w:color="auto"/>
          </w:divBdr>
          <w:divsChild>
            <w:div w:id="881207062">
              <w:marLeft w:val="0"/>
              <w:marRight w:val="0"/>
              <w:marTop w:val="0"/>
              <w:marBottom w:val="0"/>
              <w:divBdr>
                <w:top w:val="none" w:sz="0" w:space="0" w:color="auto"/>
                <w:left w:val="none" w:sz="0" w:space="0" w:color="auto"/>
                <w:bottom w:val="none" w:sz="0" w:space="0" w:color="auto"/>
                <w:right w:val="none" w:sz="0" w:space="0" w:color="auto"/>
              </w:divBdr>
              <w:divsChild>
                <w:div w:id="85565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750776">
      <w:bodyDiv w:val="1"/>
      <w:marLeft w:val="0"/>
      <w:marRight w:val="0"/>
      <w:marTop w:val="0"/>
      <w:marBottom w:val="0"/>
      <w:divBdr>
        <w:top w:val="none" w:sz="0" w:space="0" w:color="auto"/>
        <w:left w:val="none" w:sz="0" w:space="0" w:color="auto"/>
        <w:bottom w:val="none" w:sz="0" w:space="0" w:color="auto"/>
        <w:right w:val="none" w:sz="0" w:space="0" w:color="auto"/>
      </w:divBdr>
      <w:divsChild>
        <w:div w:id="1262182061">
          <w:marLeft w:val="0"/>
          <w:marRight w:val="0"/>
          <w:marTop w:val="0"/>
          <w:marBottom w:val="0"/>
          <w:divBdr>
            <w:top w:val="none" w:sz="0" w:space="0" w:color="auto"/>
            <w:left w:val="none" w:sz="0" w:space="0" w:color="auto"/>
            <w:bottom w:val="none" w:sz="0" w:space="0" w:color="auto"/>
            <w:right w:val="none" w:sz="0" w:space="0" w:color="auto"/>
          </w:divBdr>
          <w:divsChild>
            <w:div w:id="934704705">
              <w:marLeft w:val="0"/>
              <w:marRight w:val="0"/>
              <w:marTop w:val="0"/>
              <w:marBottom w:val="0"/>
              <w:divBdr>
                <w:top w:val="none" w:sz="0" w:space="0" w:color="auto"/>
                <w:left w:val="none" w:sz="0" w:space="0" w:color="auto"/>
                <w:bottom w:val="none" w:sz="0" w:space="0" w:color="auto"/>
                <w:right w:val="none" w:sz="0" w:space="0" w:color="auto"/>
              </w:divBdr>
              <w:divsChild>
                <w:div w:id="702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8090">
      <w:bodyDiv w:val="1"/>
      <w:marLeft w:val="0"/>
      <w:marRight w:val="0"/>
      <w:marTop w:val="0"/>
      <w:marBottom w:val="0"/>
      <w:divBdr>
        <w:top w:val="none" w:sz="0" w:space="0" w:color="auto"/>
        <w:left w:val="none" w:sz="0" w:space="0" w:color="auto"/>
        <w:bottom w:val="none" w:sz="0" w:space="0" w:color="auto"/>
        <w:right w:val="none" w:sz="0" w:space="0" w:color="auto"/>
      </w:divBdr>
      <w:divsChild>
        <w:div w:id="789325485">
          <w:marLeft w:val="0"/>
          <w:marRight w:val="0"/>
          <w:marTop w:val="0"/>
          <w:marBottom w:val="0"/>
          <w:divBdr>
            <w:top w:val="none" w:sz="0" w:space="0" w:color="auto"/>
            <w:left w:val="none" w:sz="0" w:space="0" w:color="auto"/>
            <w:bottom w:val="none" w:sz="0" w:space="0" w:color="auto"/>
            <w:right w:val="none" w:sz="0" w:space="0" w:color="auto"/>
          </w:divBdr>
          <w:divsChild>
            <w:div w:id="72051127">
              <w:marLeft w:val="0"/>
              <w:marRight w:val="0"/>
              <w:marTop w:val="0"/>
              <w:marBottom w:val="0"/>
              <w:divBdr>
                <w:top w:val="none" w:sz="0" w:space="0" w:color="auto"/>
                <w:left w:val="none" w:sz="0" w:space="0" w:color="auto"/>
                <w:bottom w:val="none" w:sz="0" w:space="0" w:color="auto"/>
                <w:right w:val="none" w:sz="0" w:space="0" w:color="auto"/>
              </w:divBdr>
              <w:divsChild>
                <w:div w:id="15070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31271">
      <w:bodyDiv w:val="1"/>
      <w:marLeft w:val="0"/>
      <w:marRight w:val="0"/>
      <w:marTop w:val="0"/>
      <w:marBottom w:val="0"/>
      <w:divBdr>
        <w:top w:val="none" w:sz="0" w:space="0" w:color="auto"/>
        <w:left w:val="none" w:sz="0" w:space="0" w:color="auto"/>
        <w:bottom w:val="none" w:sz="0" w:space="0" w:color="auto"/>
        <w:right w:val="none" w:sz="0" w:space="0" w:color="auto"/>
      </w:divBdr>
    </w:div>
    <w:div w:id="1377899794">
      <w:bodyDiv w:val="1"/>
      <w:marLeft w:val="0"/>
      <w:marRight w:val="0"/>
      <w:marTop w:val="0"/>
      <w:marBottom w:val="0"/>
      <w:divBdr>
        <w:top w:val="none" w:sz="0" w:space="0" w:color="auto"/>
        <w:left w:val="none" w:sz="0" w:space="0" w:color="auto"/>
        <w:bottom w:val="none" w:sz="0" w:space="0" w:color="auto"/>
        <w:right w:val="none" w:sz="0" w:space="0" w:color="auto"/>
      </w:divBdr>
      <w:divsChild>
        <w:div w:id="1420063217">
          <w:marLeft w:val="0"/>
          <w:marRight w:val="0"/>
          <w:marTop w:val="0"/>
          <w:marBottom w:val="0"/>
          <w:divBdr>
            <w:top w:val="none" w:sz="0" w:space="0" w:color="auto"/>
            <w:left w:val="none" w:sz="0" w:space="0" w:color="auto"/>
            <w:bottom w:val="none" w:sz="0" w:space="0" w:color="auto"/>
            <w:right w:val="none" w:sz="0" w:space="0" w:color="auto"/>
          </w:divBdr>
          <w:divsChild>
            <w:div w:id="83573353">
              <w:marLeft w:val="0"/>
              <w:marRight w:val="0"/>
              <w:marTop w:val="0"/>
              <w:marBottom w:val="0"/>
              <w:divBdr>
                <w:top w:val="none" w:sz="0" w:space="0" w:color="auto"/>
                <w:left w:val="none" w:sz="0" w:space="0" w:color="auto"/>
                <w:bottom w:val="none" w:sz="0" w:space="0" w:color="auto"/>
                <w:right w:val="none" w:sz="0" w:space="0" w:color="auto"/>
              </w:divBdr>
              <w:divsChild>
                <w:div w:id="9989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28735">
      <w:bodyDiv w:val="1"/>
      <w:marLeft w:val="0"/>
      <w:marRight w:val="0"/>
      <w:marTop w:val="0"/>
      <w:marBottom w:val="0"/>
      <w:divBdr>
        <w:top w:val="none" w:sz="0" w:space="0" w:color="auto"/>
        <w:left w:val="none" w:sz="0" w:space="0" w:color="auto"/>
        <w:bottom w:val="none" w:sz="0" w:space="0" w:color="auto"/>
        <w:right w:val="none" w:sz="0" w:space="0" w:color="auto"/>
      </w:divBdr>
    </w:div>
    <w:div w:id="1885554819">
      <w:bodyDiv w:val="1"/>
      <w:marLeft w:val="0"/>
      <w:marRight w:val="0"/>
      <w:marTop w:val="0"/>
      <w:marBottom w:val="0"/>
      <w:divBdr>
        <w:top w:val="none" w:sz="0" w:space="0" w:color="auto"/>
        <w:left w:val="none" w:sz="0" w:space="0" w:color="auto"/>
        <w:bottom w:val="none" w:sz="0" w:space="0" w:color="auto"/>
        <w:right w:val="none" w:sz="0" w:space="0" w:color="auto"/>
      </w:divBdr>
    </w:div>
    <w:div w:id="19524665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D2E26-6450-2546-B764-20C2B75E0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2467</Words>
  <Characters>14065</Characters>
  <Application>Microsoft Macintosh Word</Application>
  <DocSecurity>0</DocSecurity>
  <Lines>117</Lines>
  <Paragraphs>28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Methenamine Hippurate (Hiprex) versus Nitrofurantoin for recurrent lower urinary</vt:lpstr>
    </vt:vector>
  </TitlesOfParts>
  <Company/>
  <LinksUpToDate>false</LinksUpToDate>
  <CharactersWithSpaces>17272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PAYAM NIKPOOR</dc:creator>
  <cp:lastModifiedBy>PAYAM NIKPOOR</cp:lastModifiedBy>
  <cp:revision>7</cp:revision>
  <dcterms:created xsi:type="dcterms:W3CDTF">2017-04-09T08:08:00Z</dcterms:created>
  <dcterms:modified xsi:type="dcterms:W3CDTF">2017-04-24T06:35:00Z</dcterms:modified>
</cp:coreProperties>
</file>