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E9B" w:rsidRPr="007B0180" w:rsidRDefault="008E1E9B" w:rsidP="008E1E9B">
      <w:pPr>
        <w:spacing w:after="0" w:line="240" w:lineRule="auto"/>
        <w:rPr>
          <w:rFonts w:asciiTheme="majorBidi" w:hAnsiTheme="majorBidi" w:cstheme="majorBidi"/>
          <w:b/>
          <w:bCs/>
        </w:rPr>
      </w:pPr>
      <w:bookmarkStart w:id="0" w:name="_GoBack"/>
      <w:bookmarkEnd w:id="0"/>
      <w:r>
        <w:rPr>
          <w:rFonts w:asciiTheme="majorBidi" w:hAnsiTheme="majorBidi" w:cstheme="majorBidi"/>
          <w:b/>
          <w:bCs/>
        </w:rPr>
        <w:t xml:space="preserve">Introduction </w:t>
      </w:r>
    </w:p>
    <w:p w:rsidR="008E1E9B" w:rsidRDefault="008E1E9B" w:rsidP="008E1E9B">
      <w:pPr>
        <w:spacing w:after="0" w:line="240" w:lineRule="auto"/>
        <w:jc w:val="both"/>
        <w:rPr>
          <w:rFonts w:asciiTheme="majorBidi" w:hAnsiTheme="majorBidi" w:cstheme="majorBidi"/>
          <w:lang w:val="en-AU"/>
        </w:rPr>
      </w:pPr>
      <w:r>
        <w:rPr>
          <w:rFonts w:asciiTheme="majorBidi" w:hAnsiTheme="majorBidi" w:cstheme="majorBidi"/>
          <w:lang w:val="en-AU"/>
        </w:rPr>
        <w:t xml:space="preserve">The proposed research is part of a PhD project that will evaluate the analgesic responses induced by two specific forms of endogenous analgesia: manual therapy induced pain modulation (MIPM) and conditioned pain modulation (CPM). To achieve this, three main experimental studies will assess the analgesic responses produced by both paradigms using three different experimental interventions, namely: physiotherapeutic, psychological, and pharmacological interventions. This will eventually help determine if both paradigms share similar neurophysiological mechanisms. </w:t>
      </w:r>
    </w:p>
    <w:p w:rsidR="008E1E9B" w:rsidRDefault="008E1E9B" w:rsidP="008E1E9B">
      <w:pPr>
        <w:spacing w:after="0" w:line="240" w:lineRule="auto"/>
        <w:jc w:val="both"/>
        <w:rPr>
          <w:rFonts w:asciiTheme="majorBidi" w:hAnsiTheme="majorBidi" w:cstheme="majorBidi"/>
          <w:lang w:val="en-AU"/>
        </w:rPr>
      </w:pPr>
    </w:p>
    <w:p w:rsidR="008E1E9B" w:rsidRDefault="008E1E9B" w:rsidP="008E1E9B">
      <w:pPr>
        <w:spacing w:after="0" w:line="240" w:lineRule="auto"/>
        <w:jc w:val="both"/>
        <w:rPr>
          <w:rFonts w:asciiTheme="majorBidi" w:hAnsiTheme="majorBidi" w:cstheme="majorBidi"/>
          <w:lang w:val="en-AU"/>
        </w:rPr>
      </w:pPr>
      <w:r>
        <w:rPr>
          <w:rFonts w:asciiTheme="majorBidi" w:hAnsiTheme="majorBidi" w:cstheme="majorBidi"/>
          <w:lang w:val="en-AU"/>
        </w:rPr>
        <w:t xml:space="preserve">In this proposed experimental study, CPM and manual therapy analgesic responses will be assessed using CPM and MIPM assessment protocols, respectively, in patients with Lateral Epicondylalgia (LE). Participants will initially undergo a through clinical screening to confirm that eligibility criteria are met.  Eligible participants will then undergo CPM assessment followed by MIPM assessment, with a 15mins rest in between (subject to findings from </w:t>
      </w:r>
      <w:r w:rsidRPr="00B46838">
        <w:rPr>
          <w:rFonts w:asciiTheme="majorBidi" w:hAnsiTheme="majorBidi" w:cstheme="majorBidi"/>
        </w:rPr>
        <w:t>Pilot Study: HRE2016-0181)</w:t>
      </w:r>
      <w:r>
        <w:rPr>
          <w:rFonts w:asciiTheme="majorBidi" w:hAnsiTheme="majorBidi" w:cstheme="majorBidi"/>
          <w:lang w:val="en-AU"/>
        </w:rPr>
        <w:t xml:space="preserve">. </w:t>
      </w:r>
    </w:p>
    <w:p w:rsidR="008E1E9B" w:rsidRDefault="008E1E9B" w:rsidP="008E1E9B">
      <w:pPr>
        <w:spacing w:after="0" w:line="240" w:lineRule="auto"/>
        <w:jc w:val="both"/>
        <w:rPr>
          <w:rFonts w:asciiTheme="majorBidi" w:hAnsiTheme="majorBidi" w:cstheme="majorBidi"/>
          <w:lang w:val="en-AU"/>
        </w:rPr>
      </w:pPr>
    </w:p>
    <w:p w:rsidR="008E1E9B" w:rsidRPr="00830E61" w:rsidRDefault="008E1E9B" w:rsidP="008E1E9B">
      <w:pPr>
        <w:spacing w:after="0" w:line="240" w:lineRule="auto"/>
        <w:jc w:val="both"/>
        <w:rPr>
          <w:rFonts w:asciiTheme="majorBidi" w:hAnsiTheme="majorBidi" w:cstheme="majorBidi"/>
          <w:b/>
          <w:bCs/>
        </w:rPr>
      </w:pPr>
      <w:r w:rsidRPr="00830E61">
        <w:rPr>
          <w:rFonts w:asciiTheme="majorBidi" w:hAnsiTheme="majorBidi" w:cstheme="majorBidi"/>
          <w:lang w:val="en-AU"/>
        </w:rPr>
        <w:t xml:space="preserve">Both protocols will use pressure pain threshold (PPT) as the main outcome measure to quantify the analgesic changes in response to the proposed experimental interventions. </w:t>
      </w:r>
      <w:r w:rsidRPr="00830E61">
        <w:rPr>
          <w:rFonts w:ascii="Times New Roman" w:eastAsia="Times New Roman" w:hAnsi="Times New Roman" w:cs="Times New Roman"/>
          <w:color w:val="000000"/>
          <w:shd w:val="clear" w:color="auto" w:fill="FFFFFF"/>
        </w:rPr>
        <w:t xml:space="preserve">The PPT values will then be analysed to determine if there is an association between the CPM and MIPM responses in this patient population. If both forms of pain modulation demonstrate a similar pattern of response, this would suggest a common underlying mechanism of action.  </w:t>
      </w:r>
      <w:r w:rsidRPr="00830E61">
        <w:rPr>
          <w:rFonts w:asciiTheme="majorBidi" w:hAnsiTheme="majorBidi" w:cstheme="majorBidi"/>
          <w:lang w:val="en-AU"/>
        </w:rPr>
        <w:t xml:space="preserve">It is also expected </w:t>
      </w:r>
      <w:r>
        <w:rPr>
          <w:rFonts w:asciiTheme="majorBidi" w:hAnsiTheme="majorBidi" w:cstheme="majorBidi"/>
          <w:lang w:val="en-AU"/>
        </w:rPr>
        <w:t xml:space="preserve">that </w:t>
      </w:r>
      <w:r w:rsidRPr="00830E61">
        <w:rPr>
          <w:rFonts w:asciiTheme="majorBidi" w:hAnsiTheme="majorBidi" w:cstheme="majorBidi"/>
          <w:lang w:val="en-AU"/>
        </w:rPr>
        <w:t>a proportion of subjects</w:t>
      </w:r>
      <w:r>
        <w:rPr>
          <w:rFonts w:asciiTheme="majorBidi" w:hAnsiTheme="majorBidi" w:cstheme="majorBidi"/>
          <w:lang w:val="en-AU"/>
        </w:rPr>
        <w:t xml:space="preserve"> will </w:t>
      </w:r>
      <w:r w:rsidRPr="00830E61">
        <w:rPr>
          <w:rFonts w:asciiTheme="majorBidi" w:hAnsiTheme="majorBidi" w:cstheme="majorBidi"/>
          <w:lang w:val="en-AU"/>
        </w:rPr>
        <w:t>demonstrat</w:t>
      </w:r>
      <w:r>
        <w:rPr>
          <w:rFonts w:asciiTheme="majorBidi" w:hAnsiTheme="majorBidi" w:cstheme="majorBidi"/>
          <w:lang w:val="en-AU"/>
        </w:rPr>
        <w:t>e</w:t>
      </w:r>
      <w:r w:rsidRPr="00830E61">
        <w:rPr>
          <w:rFonts w:asciiTheme="majorBidi" w:hAnsiTheme="majorBidi" w:cstheme="majorBidi"/>
          <w:lang w:val="en-AU"/>
        </w:rPr>
        <w:t xml:space="preserve"> no CPM effect (CPM non-responders). This will be determined through calculation of meaningful CPM effect using </w:t>
      </w:r>
      <w:r w:rsidRPr="00830E61">
        <w:rPr>
          <w:rFonts w:asciiTheme="majorBidi" w:hAnsiTheme="majorBidi" w:cstheme="majorBidi"/>
        </w:rPr>
        <w:t xml:space="preserve">the criterion described by Locke et al. (2014) </w:t>
      </w:r>
      <w:r w:rsidRPr="00830E61">
        <w:rPr>
          <w:rFonts w:asciiTheme="majorBidi" w:hAnsiTheme="majorBidi" w:cstheme="majorBidi"/>
          <w:lang w:val="en-AU"/>
        </w:rPr>
        <w:t>to determine meaningful CPM effect</w:t>
      </w:r>
      <w:r w:rsidRPr="00830E61">
        <w:rPr>
          <w:rFonts w:asciiTheme="majorBidi" w:hAnsiTheme="majorBidi" w:cstheme="majorBidi"/>
        </w:rPr>
        <w:t>. MIPM measures will be used to compare the MIPM</w:t>
      </w:r>
      <w:r>
        <w:rPr>
          <w:rFonts w:asciiTheme="majorBidi" w:hAnsiTheme="majorBidi" w:cstheme="majorBidi"/>
        </w:rPr>
        <w:t xml:space="preserve"> effect between </w:t>
      </w:r>
      <w:r w:rsidRPr="00830E61">
        <w:rPr>
          <w:rFonts w:asciiTheme="majorBidi" w:hAnsiTheme="majorBidi" w:cstheme="majorBidi"/>
        </w:rPr>
        <w:t xml:space="preserve">those who exhibit a CPM effect (CPM responders) and those who do not demonstrate a CPM effect (CPM non-responders).  </w:t>
      </w:r>
    </w:p>
    <w:p w:rsidR="008E1E9B" w:rsidRPr="00640E6B" w:rsidRDefault="008E1E9B" w:rsidP="008E1E9B">
      <w:pPr>
        <w:pStyle w:val="ListParagraph"/>
        <w:spacing w:after="0" w:line="240" w:lineRule="auto"/>
        <w:ind w:left="284"/>
        <w:jc w:val="both"/>
        <w:rPr>
          <w:rFonts w:asciiTheme="majorBidi" w:hAnsiTheme="majorBidi" w:cstheme="majorBidi"/>
          <w:b/>
          <w:bCs/>
        </w:rPr>
      </w:pPr>
    </w:p>
    <w:p w:rsidR="008E1E9B" w:rsidRDefault="008E1E9B" w:rsidP="008E1E9B">
      <w:pPr>
        <w:spacing w:after="0" w:line="240" w:lineRule="auto"/>
        <w:jc w:val="both"/>
        <w:rPr>
          <w:rFonts w:ascii="Times New Roman" w:eastAsia="Times New Roman" w:hAnsi="Times New Roman" w:cs="Times New Roman"/>
          <w:color w:val="000000"/>
          <w:shd w:val="clear" w:color="auto" w:fill="FFFFFF"/>
        </w:rPr>
      </w:pPr>
      <w:r w:rsidRPr="00625B7D">
        <w:rPr>
          <w:rFonts w:ascii="Times New Roman" w:eastAsia="Times New Roman" w:hAnsi="Times New Roman" w:cs="Times New Roman"/>
          <w:color w:val="000000"/>
          <w:shd w:val="clear" w:color="auto" w:fill="FFFFFF"/>
        </w:rPr>
        <w:t xml:space="preserve">This research may provide a base from which to investigate the possibility of enhancing </w:t>
      </w:r>
      <w:r>
        <w:rPr>
          <w:rFonts w:ascii="Times New Roman" w:eastAsia="Times New Roman" w:hAnsi="Times New Roman" w:cs="Times New Roman"/>
          <w:color w:val="000000"/>
          <w:shd w:val="clear" w:color="auto" w:fill="FFFFFF"/>
        </w:rPr>
        <w:t>MIPM</w:t>
      </w:r>
      <w:r w:rsidRPr="00625B7D">
        <w:rPr>
          <w:rFonts w:ascii="Times New Roman" w:eastAsia="Times New Roman" w:hAnsi="Times New Roman" w:cs="Times New Roman"/>
          <w:color w:val="000000"/>
          <w:shd w:val="clear" w:color="auto" w:fill="FFFFFF"/>
        </w:rPr>
        <w:t xml:space="preserve"> effects by combining manual therapy with other treatment modalities. It will therefore extend our knowledge of </w:t>
      </w:r>
      <w:r>
        <w:rPr>
          <w:rFonts w:ascii="Times New Roman" w:eastAsia="Times New Roman" w:hAnsi="Times New Roman" w:cs="Times New Roman"/>
          <w:bCs/>
          <w:color w:val="000000"/>
          <w:shd w:val="clear" w:color="auto" w:fill="FFFFFF"/>
        </w:rPr>
        <w:t xml:space="preserve">manual therapy </w:t>
      </w:r>
      <w:r w:rsidRPr="00625B7D">
        <w:rPr>
          <w:rFonts w:ascii="Times New Roman" w:eastAsia="Times New Roman" w:hAnsi="Times New Roman" w:cs="Times New Roman"/>
          <w:bCs/>
          <w:color w:val="000000"/>
          <w:shd w:val="clear" w:color="auto" w:fill="FFFFFF"/>
        </w:rPr>
        <w:t>induced analgesia</w:t>
      </w:r>
      <w:r w:rsidRPr="00625B7D">
        <w:rPr>
          <w:rFonts w:ascii="Times New Roman" w:eastAsia="Times New Roman" w:hAnsi="Times New Roman" w:cs="Times New Roman"/>
          <w:color w:val="000000"/>
          <w:shd w:val="clear" w:color="auto" w:fill="FFFFFF"/>
        </w:rPr>
        <w:t>.</w:t>
      </w:r>
    </w:p>
    <w:p w:rsidR="008E1E9B" w:rsidRDefault="008E1E9B" w:rsidP="008E1E9B">
      <w:pPr>
        <w:spacing w:after="0" w:line="240" w:lineRule="auto"/>
        <w:jc w:val="both"/>
        <w:rPr>
          <w:rFonts w:asciiTheme="majorBidi" w:hAnsiTheme="majorBidi" w:cstheme="majorBidi"/>
          <w:lang w:val="en-AU"/>
        </w:rPr>
      </w:pPr>
    </w:p>
    <w:p w:rsidR="008E1E9B" w:rsidRPr="001A3F8F" w:rsidRDefault="008E1E9B" w:rsidP="008E1E9B">
      <w:pPr>
        <w:shd w:val="clear" w:color="auto" w:fill="BFBFBF" w:themeFill="background1" w:themeFillShade="BF"/>
        <w:spacing w:after="0" w:line="240" w:lineRule="auto"/>
        <w:rPr>
          <w:rFonts w:asciiTheme="majorBidi" w:hAnsiTheme="majorBidi" w:cstheme="majorBidi"/>
          <w:b/>
          <w:bCs/>
          <w:i/>
          <w:iCs/>
        </w:rPr>
      </w:pPr>
      <w:r w:rsidRPr="001A3F8F">
        <w:rPr>
          <w:rFonts w:asciiTheme="majorBidi" w:hAnsiTheme="majorBidi" w:cstheme="majorBidi"/>
          <w:b/>
          <w:bCs/>
        </w:rPr>
        <w:t>Study One:</w:t>
      </w:r>
      <w:r w:rsidRPr="001A3F8F">
        <w:rPr>
          <w:rFonts w:asciiTheme="majorBidi" w:hAnsiTheme="majorBidi" w:cstheme="majorBidi"/>
          <w:b/>
          <w:bCs/>
          <w:i/>
          <w:iCs/>
        </w:rPr>
        <w:t xml:space="preserve"> Association between the analgesic effects of CPM and MIPM</w:t>
      </w:r>
      <w:r>
        <w:rPr>
          <w:rFonts w:asciiTheme="majorBidi" w:hAnsiTheme="majorBidi" w:cstheme="majorBidi"/>
          <w:b/>
          <w:bCs/>
          <w:i/>
          <w:iCs/>
        </w:rPr>
        <w:tab/>
      </w:r>
      <w:r>
        <w:rPr>
          <w:rFonts w:asciiTheme="majorBidi" w:hAnsiTheme="majorBidi" w:cstheme="majorBidi"/>
          <w:b/>
          <w:bCs/>
          <w:i/>
          <w:iCs/>
        </w:rPr>
        <w:tab/>
      </w:r>
      <w:r>
        <w:rPr>
          <w:rFonts w:asciiTheme="majorBidi" w:hAnsiTheme="majorBidi" w:cstheme="majorBidi"/>
          <w:b/>
          <w:bCs/>
          <w:i/>
          <w:iCs/>
        </w:rPr>
        <w:tab/>
      </w:r>
      <w:r>
        <w:rPr>
          <w:rFonts w:asciiTheme="majorBidi" w:hAnsiTheme="majorBidi" w:cstheme="majorBidi"/>
          <w:b/>
          <w:bCs/>
          <w:i/>
          <w:iCs/>
        </w:rPr>
        <w:tab/>
      </w:r>
    </w:p>
    <w:p w:rsidR="008E1E9B" w:rsidRPr="003E24E9" w:rsidRDefault="008E1E9B" w:rsidP="008E1E9B">
      <w:pPr>
        <w:spacing w:after="0" w:line="240" w:lineRule="auto"/>
        <w:jc w:val="both"/>
        <w:rPr>
          <w:rFonts w:asciiTheme="majorBidi" w:hAnsiTheme="majorBidi" w:cstheme="majorBidi"/>
        </w:rPr>
      </w:pPr>
      <w:r w:rsidRPr="003E24E9">
        <w:rPr>
          <w:rFonts w:asciiTheme="majorBidi" w:hAnsiTheme="majorBidi" w:cstheme="majorBidi"/>
          <w:b/>
          <w:bCs/>
        </w:rPr>
        <w:t>Aims</w:t>
      </w:r>
    </w:p>
    <w:p w:rsidR="008E1E9B" w:rsidRPr="003E24E9" w:rsidRDefault="008E1E9B" w:rsidP="008E1E9B">
      <w:pPr>
        <w:pStyle w:val="ListParagraph"/>
        <w:numPr>
          <w:ilvl w:val="0"/>
          <w:numId w:val="1"/>
        </w:numPr>
        <w:spacing w:after="0" w:line="240" w:lineRule="auto"/>
        <w:ind w:left="284" w:hanging="284"/>
        <w:jc w:val="both"/>
        <w:rPr>
          <w:rFonts w:asciiTheme="majorBidi" w:hAnsiTheme="majorBidi" w:cstheme="majorBidi"/>
          <w:b/>
          <w:bCs/>
        </w:rPr>
      </w:pPr>
      <w:r>
        <w:rPr>
          <w:rFonts w:asciiTheme="majorBidi" w:hAnsiTheme="majorBidi" w:cstheme="majorBidi"/>
        </w:rPr>
        <w:t>To assess CPM and MIPM</w:t>
      </w:r>
      <w:r w:rsidRPr="003E24E9">
        <w:rPr>
          <w:rFonts w:asciiTheme="majorBidi" w:hAnsiTheme="majorBidi" w:cstheme="majorBidi"/>
        </w:rPr>
        <w:t xml:space="preserve"> in a p</w:t>
      </w:r>
      <w:r>
        <w:rPr>
          <w:rFonts w:asciiTheme="majorBidi" w:hAnsiTheme="majorBidi" w:cstheme="majorBidi"/>
        </w:rPr>
        <w:t>atient population with Lateral E</w:t>
      </w:r>
      <w:r w:rsidRPr="003E24E9">
        <w:rPr>
          <w:rFonts w:asciiTheme="majorBidi" w:hAnsiTheme="majorBidi" w:cstheme="majorBidi"/>
        </w:rPr>
        <w:t>picondylalgia</w:t>
      </w:r>
      <w:r>
        <w:rPr>
          <w:rFonts w:asciiTheme="majorBidi" w:hAnsiTheme="majorBidi" w:cstheme="majorBidi"/>
        </w:rPr>
        <w:t xml:space="preserve"> (</w:t>
      </w:r>
      <w:r w:rsidRPr="003E24E9">
        <w:rPr>
          <w:rFonts w:asciiTheme="majorBidi" w:hAnsiTheme="majorBidi" w:cstheme="majorBidi"/>
        </w:rPr>
        <w:t>LE</w:t>
      </w:r>
      <w:r>
        <w:rPr>
          <w:rFonts w:asciiTheme="majorBidi" w:hAnsiTheme="majorBidi" w:cstheme="majorBidi"/>
        </w:rPr>
        <w:t>)</w:t>
      </w:r>
      <w:r w:rsidRPr="003E24E9">
        <w:rPr>
          <w:rFonts w:asciiTheme="majorBidi" w:hAnsiTheme="majorBidi" w:cstheme="majorBidi"/>
        </w:rPr>
        <w:t xml:space="preserve"> to determine if there is a correlation between the induced analgesic responses in this patient population. </w:t>
      </w:r>
    </w:p>
    <w:p w:rsidR="008E1E9B" w:rsidRPr="001A3F8F" w:rsidRDefault="008E1E9B" w:rsidP="008E1E9B">
      <w:pPr>
        <w:pStyle w:val="ListParagraph"/>
        <w:numPr>
          <w:ilvl w:val="0"/>
          <w:numId w:val="1"/>
        </w:numPr>
        <w:spacing w:after="0" w:line="240" w:lineRule="auto"/>
        <w:ind w:left="284" w:hanging="284"/>
        <w:jc w:val="both"/>
        <w:rPr>
          <w:rFonts w:asciiTheme="majorBidi" w:hAnsiTheme="majorBidi" w:cstheme="majorBidi"/>
          <w:b/>
          <w:bCs/>
        </w:rPr>
      </w:pPr>
      <w:r w:rsidRPr="003E24E9">
        <w:rPr>
          <w:rFonts w:asciiTheme="majorBidi" w:hAnsiTheme="majorBidi" w:cstheme="majorBidi"/>
        </w:rPr>
        <w:t xml:space="preserve">To determine whether </w:t>
      </w:r>
      <w:r>
        <w:rPr>
          <w:rFonts w:asciiTheme="majorBidi" w:hAnsiTheme="majorBidi" w:cstheme="majorBidi"/>
        </w:rPr>
        <w:t>there is a difference in the level of MIPM</w:t>
      </w:r>
      <w:r w:rsidRPr="003E24E9">
        <w:rPr>
          <w:rFonts w:asciiTheme="majorBidi" w:hAnsiTheme="majorBidi" w:cstheme="majorBidi"/>
        </w:rPr>
        <w:t xml:space="preserve"> </w:t>
      </w:r>
      <w:r>
        <w:rPr>
          <w:rFonts w:asciiTheme="majorBidi" w:hAnsiTheme="majorBidi" w:cstheme="majorBidi"/>
        </w:rPr>
        <w:t xml:space="preserve">analgesia </w:t>
      </w:r>
      <w:r w:rsidRPr="003E24E9">
        <w:rPr>
          <w:rFonts w:asciiTheme="majorBidi" w:hAnsiTheme="majorBidi" w:cstheme="majorBidi"/>
        </w:rPr>
        <w:t>between those who exhibit a CPM effect (CPM responders) and those who do not demonstrate a CPM effect</w:t>
      </w:r>
      <w:r>
        <w:rPr>
          <w:rFonts w:asciiTheme="majorBidi" w:hAnsiTheme="majorBidi" w:cstheme="majorBidi"/>
        </w:rPr>
        <w:t xml:space="preserve"> (CPM non-responders)</w:t>
      </w:r>
      <w:r w:rsidRPr="003E24E9">
        <w:rPr>
          <w:rFonts w:asciiTheme="majorBidi" w:hAnsiTheme="majorBidi" w:cstheme="majorBidi"/>
        </w:rPr>
        <w:t xml:space="preserve">.  </w:t>
      </w:r>
    </w:p>
    <w:p w:rsidR="008E1E9B" w:rsidRPr="00640E6B" w:rsidRDefault="008E1E9B" w:rsidP="008E1E9B">
      <w:pPr>
        <w:pStyle w:val="ListParagraph"/>
        <w:spacing w:after="0" w:line="240" w:lineRule="auto"/>
        <w:ind w:left="284"/>
        <w:jc w:val="both"/>
        <w:rPr>
          <w:rFonts w:asciiTheme="majorBidi" w:hAnsiTheme="majorBidi" w:cstheme="majorBidi"/>
          <w:b/>
          <w:bCs/>
        </w:rPr>
      </w:pPr>
    </w:p>
    <w:p w:rsidR="008E1E9B" w:rsidRPr="003E24E9" w:rsidRDefault="008E1E9B" w:rsidP="008E1E9B">
      <w:pPr>
        <w:spacing w:after="0" w:line="240" w:lineRule="auto"/>
        <w:jc w:val="both"/>
        <w:rPr>
          <w:rFonts w:asciiTheme="majorBidi" w:hAnsiTheme="majorBidi" w:cstheme="majorBidi"/>
          <w:i/>
          <w:iCs/>
        </w:rPr>
      </w:pPr>
      <w:r>
        <w:rPr>
          <w:rFonts w:asciiTheme="majorBidi" w:hAnsiTheme="majorBidi" w:cstheme="majorBidi"/>
          <w:b/>
          <w:bCs/>
        </w:rPr>
        <w:t>Null h</w:t>
      </w:r>
      <w:r w:rsidRPr="003E24E9">
        <w:rPr>
          <w:rFonts w:asciiTheme="majorBidi" w:hAnsiTheme="majorBidi" w:cstheme="majorBidi"/>
          <w:b/>
          <w:bCs/>
        </w:rPr>
        <w:t>ypotheses</w:t>
      </w:r>
    </w:p>
    <w:p w:rsidR="008E1E9B" w:rsidRPr="00FD5CD1" w:rsidRDefault="008E1E9B" w:rsidP="008E1E9B">
      <w:pPr>
        <w:pStyle w:val="ListParagraph"/>
        <w:numPr>
          <w:ilvl w:val="0"/>
          <w:numId w:val="2"/>
        </w:numPr>
        <w:ind w:left="284" w:hanging="284"/>
        <w:jc w:val="both"/>
        <w:rPr>
          <w:rFonts w:asciiTheme="majorBidi" w:hAnsiTheme="majorBidi" w:cstheme="majorBidi"/>
          <w:i/>
          <w:iCs/>
        </w:rPr>
      </w:pPr>
      <w:r w:rsidRPr="00FD5CD1">
        <w:rPr>
          <w:rFonts w:asciiTheme="majorBidi" w:hAnsiTheme="majorBidi" w:cstheme="majorBidi"/>
        </w:rPr>
        <w:t>There will be no correlation between the level of MIPM and CPM analgesia as detected by PPT.</w:t>
      </w:r>
    </w:p>
    <w:p w:rsidR="008E1E9B" w:rsidRPr="001A3F8F" w:rsidRDefault="008E1E9B" w:rsidP="008E1E9B">
      <w:pPr>
        <w:pStyle w:val="ListParagraph"/>
        <w:numPr>
          <w:ilvl w:val="0"/>
          <w:numId w:val="2"/>
        </w:numPr>
        <w:ind w:left="284" w:hanging="284"/>
        <w:jc w:val="both"/>
        <w:rPr>
          <w:rFonts w:asciiTheme="majorBidi" w:hAnsiTheme="majorBidi" w:cstheme="majorBidi"/>
          <w:i/>
          <w:iCs/>
        </w:rPr>
      </w:pPr>
      <w:r w:rsidRPr="00FD5CD1">
        <w:rPr>
          <w:rFonts w:asciiTheme="majorBidi" w:hAnsiTheme="majorBidi" w:cstheme="majorBidi"/>
        </w:rPr>
        <w:t xml:space="preserve">There will be no difference in the level of MIPM analgesia between those subjects who do and those who do not exhibit a CPM effect (CPM responders vs non-responders). </w:t>
      </w:r>
    </w:p>
    <w:p w:rsidR="008E1E9B" w:rsidRPr="00921344" w:rsidRDefault="008E1E9B" w:rsidP="008E1E9B">
      <w:pPr>
        <w:spacing w:after="0" w:line="240" w:lineRule="auto"/>
        <w:jc w:val="both"/>
        <w:rPr>
          <w:rFonts w:asciiTheme="majorBidi" w:eastAsia="Times New Roman" w:hAnsiTheme="majorBidi" w:cs="Times New Roman"/>
          <w:b/>
          <w:bCs/>
        </w:rPr>
      </w:pPr>
      <w:r w:rsidRPr="00921344">
        <w:rPr>
          <w:rFonts w:asciiTheme="majorBidi" w:eastAsia="Times New Roman" w:hAnsiTheme="majorBidi" w:cs="Times New Roman"/>
          <w:b/>
          <w:bCs/>
        </w:rPr>
        <w:t xml:space="preserve">Methods </w:t>
      </w:r>
    </w:p>
    <w:p w:rsidR="008E1E9B" w:rsidRPr="00921344" w:rsidRDefault="008E1E9B" w:rsidP="008E1E9B">
      <w:pPr>
        <w:spacing w:after="0" w:line="240" w:lineRule="auto"/>
        <w:jc w:val="both"/>
        <w:rPr>
          <w:rFonts w:asciiTheme="majorBidi" w:eastAsia="Times New Roman" w:hAnsiTheme="majorBidi" w:cs="Times New Roman"/>
          <w:i/>
          <w:iCs/>
        </w:rPr>
      </w:pPr>
      <w:r w:rsidRPr="00921344">
        <w:rPr>
          <w:rFonts w:asciiTheme="majorBidi" w:eastAsia="Times New Roman" w:hAnsiTheme="majorBidi" w:cs="Times New Roman"/>
          <w:b/>
          <w:bCs/>
        </w:rPr>
        <w:t xml:space="preserve">Subjects </w:t>
      </w:r>
    </w:p>
    <w:p w:rsidR="008E1E9B" w:rsidRPr="00921344" w:rsidRDefault="008E1E9B" w:rsidP="008E1E9B">
      <w:pPr>
        <w:spacing w:after="0" w:line="240" w:lineRule="auto"/>
        <w:jc w:val="both"/>
        <w:rPr>
          <w:rFonts w:asciiTheme="majorBidi" w:hAnsiTheme="majorBidi" w:cstheme="majorBidi"/>
        </w:rPr>
      </w:pPr>
      <w:r w:rsidRPr="00921344">
        <w:rPr>
          <w:rFonts w:asciiTheme="majorBidi" w:eastAsia="Times New Roman" w:hAnsiTheme="majorBidi" w:cs="Times New Roman"/>
        </w:rPr>
        <w:t xml:space="preserve">Participants with LE will be recruited through Curtin radio advertisements, and adverts in sports clubs and a range of musculoskeletal and sports physiotherapy clinics in Perth. </w:t>
      </w:r>
      <w:r w:rsidRPr="00921344">
        <w:rPr>
          <w:rFonts w:asciiTheme="majorBidi" w:hAnsiTheme="majorBidi" w:cstheme="majorBidi"/>
        </w:rPr>
        <w:t xml:space="preserve">Using data from previous CPM studies, it is estimated that there would be a difference in percentage change in PPT of approximately 20% between active intervention and control groups. Assuming power of 0.80 and alpha set at 0.05, this would require 26-30 subjects per group. </w:t>
      </w:r>
      <w:r w:rsidRPr="00921344">
        <w:rPr>
          <w:rFonts w:asciiTheme="majorBidi" w:eastAsia="Times New Roman" w:hAnsiTheme="majorBidi" w:cs="Times New Roman"/>
        </w:rPr>
        <w:t>Inclusion criteria (Haker &amp; Lundeberg 1990) and exclusion criteria are as follows:</w:t>
      </w:r>
    </w:p>
    <w:p w:rsidR="008E1E9B" w:rsidRPr="00921344" w:rsidRDefault="008E1E9B" w:rsidP="008E1E9B">
      <w:pPr>
        <w:spacing w:after="0" w:line="240" w:lineRule="auto"/>
        <w:jc w:val="both"/>
        <w:rPr>
          <w:rFonts w:asciiTheme="majorBidi" w:eastAsia="Times New Roman" w:hAnsiTheme="majorBidi" w:cs="Times New Roman"/>
        </w:rPr>
      </w:pPr>
    </w:p>
    <w:p w:rsidR="008E1E9B" w:rsidRPr="00921344" w:rsidRDefault="008E1E9B" w:rsidP="008E1E9B">
      <w:pPr>
        <w:spacing w:after="0" w:line="240" w:lineRule="auto"/>
        <w:contextualSpacing/>
        <w:jc w:val="both"/>
        <w:rPr>
          <w:rFonts w:asciiTheme="majorBidi" w:eastAsiaTheme="minorEastAsia" w:hAnsiTheme="majorBidi" w:cs="Times New Roman"/>
          <w:b/>
          <w:bCs/>
          <w:i/>
          <w:iCs/>
        </w:rPr>
      </w:pPr>
      <w:r w:rsidRPr="00921344">
        <w:rPr>
          <w:rFonts w:asciiTheme="majorBidi" w:eastAsiaTheme="minorEastAsia" w:hAnsiTheme="majorBidi" w:cs="Times New Roman"/>
          <w:b/>
          <w:bCs/>
          <w:i/>
          <w:iCs/>
        </w:rPr>
        <w:t xml:space="preserve">Inclusion criteria </w:t>
      </w:r>
    </w:p>
    <w:tbl>
      <w:tblPr>
        <w:tblStyle w:val="TableGrid"/>
        <w:tblW w:w="9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gridCol w:w="5105"/>
      </w:tblGrid>
      <w:tr w:rsidR="008E1E9B" w:rsidRPr="00921344" w:rsidTr="00135A7C">
        <w:trPr>
          <w:trHeight w:val="277"/>
        </w:trPr>
        <w:tc>
          <w:tcPr>
            <w:tcW w:w="9585" w:type="dxa"/>
            <w:gridSpan w:val="2"/>
            <w:shd w:val="clear" w:color="auto" w:fill="D9D9D9" w:themeFill="background1" w:themeFillShade="D9"/>
          </w:tcPr>
          <w:p w:rsidR="008E1E9B" w:rsidRPr="00921344" w:rsidRDefault="008E1E9B" w:rsidP="00135A7C">
            <w:pPr>
              <w:jc w:val="both"/>
              <w:rPr>
                <w:rFonts w:asciiTheme="majorBidi" w:hAnsiTheme="majorBidi" w:cs="Times New Roman"/>
              </w:rPr>
            </w:pPr>
            <w:r w:rsidRPr="00921344">
              <w:rPr>
                <w:rFonts w:asciiTheme="majorBidi" w:hAnsiTheme="majorBidi" w:cs="Times New Roman"/>
              </w:rPr>
              <w:t xml:space="preserve">Unilateral elbow pain &gt; 6 weeks reproduced on </w:t>
            </w:r>
            <w:r w:rsidRPr="00921344">
              <w:rPr>
                <w:rFonts w:asciiTheme="majorBidi" w:hAnsiTheme="majorBidi" w:cs="Times New Roman"/>
                <w:b/>
                <w:bCs/>
              </w:rPr>
              <w:t>at least 2</w:t>
            </w:r>
            <w:r w:rsidRPr="00921344">
              <w:rPr>
                <w:rFonts w:asciiTheme="majorBidi" w:hAnsiTheme="majorBidi" w:cs="Times New Roman"/>
              </w:rPr>
              <w:t xml:space="preserve"> of the following tests:  </w:t>
            </w:r>
          </w:p>
        </w:tc>
      </w:tr>
      <w:tr w:rsidR="008E1E9B" w:rsidRPr="00921344" w:rsidTr="00135A7C">
        <w:trPr>
          <w:trHeight w:val="277"/>
        </w:trPr>
        <w:tc>
          <w:tcPr>
            <w:tcW w:w="4480" w:type="dxa"/>
            <w:shd w:val="clear" w:color="auto" w:fill="F2F2F2" w:themeFill="background1" w:themeFillShade="F2"/>
          </w:tcPr>
          <w:p w:rsidR="008E1E9B" w:rsidRPr="00921344" w:rsidRDefault="008E1E9B" w:rsidP="00135A7C">
            <w:pPr>
              <w:jc w:val="both"/>
              <w:rPr>
                <w:rFonts w:asciiTheme="majorBidi" w:hAnsiTheme="majorBidi" w:cs="Times New Roman"/>
              </w:rPr>
            </w:pPr>
            <w:r w:rsidRPr="00921344">
              <w:rPr>
                <w:rFonts w:asciiTheme="majorBidi" w:hAnsiTheme="majorBidi" w:cs="Times New Roman"/>
              </w:rPr>
              <w:t>Palpation of the lateral epicondyle</w:t>
            </w:r>
          </w:p>
        </w:tc>
        <w:tc>
          <w:tcPr>
            <w:tcW w:w="5105" w:type="dxa"/>
            <w:shd w:val="clear" w:color="auto" w:fill="F2F2F2" w:themeFill="background1" w:themeFillShade="F2"/>
          </w:tcPr>
          <w:p w:rsidR="008E1E9B" w:rsidRPr="00921344" w:rsidRDefault="008E1E9B" w:rsidP="00135A7C">
            <w:pPr>
              <w:ind w:left="360"/>
              <w:jc w:val="both"/>
              <w:rPr>
                <w:rFonts w:asciiTheme="majorBidi" w:hAnsiTheme="majorBidi" w:cs="Times New Roman"/>
              </w:rPr>
            </w:pPr>
            <w:r w:rsidRPr="00921344">
              <w:rPr>
                <w:rFonts w:asciiTheme="majorBidi" w:hAnsiTheme="majorBidi" w:cs="Times New Roman"/>
              </w:rPr>
              <w:t>Passive stretch of wrist extensors</w:t>
            </w:r>
          </w:p>
        </w:tc>
      </w:tr>
      <w:tr w:rsidR="008E1E9B" w:rsidRPr="00921344" w:rsidTr="00135A7C">
        <w:trPr>
          <w:trHeight w:val="277"/>
        </w:trPr>
        <w:tc>
          <w:tcPr>
            <w:tcW w:w="4480" w:type="dxa"/>
            <w:shd w:val="clear" w:color="auto" w:fill="F2F2F2" w:themeFill="background1" w:themeFillShade="F2"/>
          </w:tcPr>
          <w:p w:rsidR="008E1E9B" w:rsidRPr="00921344" w:rsidRDefault="008E1E9B" w:rsidP="00135A7C">
            <w:pPr>
              <w:jc w:val="both"/>
              <w:rPr>
                <w:rFonts w:asciiTheme="majorBidi" w:hAnsiTheme="majorBidi" w:cs="Times New Roman"/>
              </w:rPr>
            </w:pPr>
            <w:r w:rsidRPr="00921344">
              <w:rPr>
                <w:rFonts w:asciiTheme="majorBidi" w:hAnsiTheme="majorBidi" w:cs="Times New Roman"/>
              </w:rPr>
              <w:t>Isometric testing of the wrist extensors</w:t>
            </w:r>
          </w:p>
        </w:tc>
        <w:tc>
          <w:tcPr>
            <w:tcW w:w="5105" w:type="dxa"/>
            <w:shd w:val="clear" w:color="auto" w:fill="F2F2F2" w:themeFill="background1" w:themeFillShade="F2"/>
          </w:tcPr>
          <w:p w:rsidR="008E1E9B" w:rsidRPr="00921344" w:rsidRDefault="008E1E9B" w:rsidP="00135A7C">
            <w:pPr>
              <w:ind w:left="360"/>
              <w:jc w:val="both"/>
              <w:rPr>
                <w:rFonts w:asciiTheme="majorBidi" w:hAnsiTheme="majorBidi" w:cs="Times New Roman"/>
              </w:rPr>
            </w:pPr>
            <w:r w:rsidRPr="00921344">
              <w:rPr>
                <w:rFonts w:asciiTheme="majorBidi" w:hAnsiTheme="majorBidi" w:cs="Times New Roman"/>
              </w:rPr>
              <w:t>Resisted hand gripping using a dynamometer</w:t>
            </w:r>
          </w:p>
        </w:tc>
      </w:tr>
      <w:tr w:rsidR="008E1E9B" w:rsidRPr="00921344" w:rsidTr="00135A7C">
        <w:trPr>
          <w:trHeight w:val="261"/>
        </w:trPr>
        <w:tc>
          <w:tcPr>
            <w:tcW w:w="4480" w:type="dxa"/>
            <w:shd w:val="clear" w:color="auto" w:fill="F2F2F2" w:themeFill="background1" w:themeFillShade="F2"/>
          </w:tcPr>
          <w:p w:rsidR="008E1E9B" w:rsidRPr="00921344" w:rsidRDefault="008E1E9B" w:rsidP="00135A7C">
            <w:pPr>
              <w:jc w:val="both"/>
              <w:rPr>
                <w:rFonts w:asciiTheme="majorBidi" w:hAnsiTheme="majorBidi" w:cs="Times New Roman"/>
              </w:rPr>
            </w:pPr>
            <w:r w:rsidRPr="00921344">
              <w:rPr>
                <w:rFonts w:asciiTheme="majorBidi" w:hAnsiTheme="majorBidi" w:cs="Times New Roman"/>
              </w:rPr>
              <w:t>Middle finger extension test</w:t>
            </w:r>
          </w:p>
        </w:tc>
        <w:tc>
          <w:tcPr>
            <w:tcW w:w="5105" w:type="dxa"/>
            <w:shd w:val="clear" w:color="auto" w:fill="F2F2F2" w:themeFill="background1" w:themeFillShade="F2"/>
          </w:tcPr>
          <w:p w:rsidR="008E1E9B" w:rsidRPr="00921344" w:rsidRDefault="008E1E9B" w:rsidP="00135A7C">
            <w:pPr>
              <w:ind w:left="360"/>
              <w:jc w:val="both"/>
              <w:rPr>
                <w:rFonts w:asciiTheme="majorBidi" w:hAnsiTheme="majorBidi" w:cs="Times New Roman"/>
              </w:rPr>
            </w:pPr>
            <w:r w:rsidRPr="00921344">
              <w:rPr>
                <w:rFonts w:asciiTheme="majorBidi" w:hAnsiTheme="majorBidi" w:cs="Times New Roman"/>
              </w:rPr>
              <w:t>Upper limb neurodynamic test-radial nerve bias</w:t>
            </w:r>
          </w:p>
        </w:tc>
      </w:tr>
    </w:tbl>
    <w:p w:rsidR="008E1E9B" w:rsidRPr="00921344" w:rsidRDefault="008E1E9B" w:rsidP="008E1E9B">
      <w:pPr>
        <w:shd w:val="clear" w:color="auto" w:fill="FFFFFF" w:themeFill="background1"/>
        <w:spacing w:after="0" w:line="240" w:lineRule="auto"/>
        <w:rPr>
          <w:rFonts w:asciiTheme="majorBidi" w:eastAsia="Times New Roman" w:hAnsiTheme="majorBidi" w:cs="Times New Roman"/>
          <w:i/>
          <w:iCs/>
        </w:rPr>
      </w:pPr>
    </w:p>
    <w:p w:rsidR="008E1E9B" w:rsidRPr="00921344" w:rsidRDefault="008E1E9B" w:rsidP="008E1E9B">
      <w:pPr>
        <w:shd w:val="clear" w:color="auto" w:fill="FFFFFF" w:themeFill="background1"/>
        <w:tabs>
          <w:tab w:val="left" w:pos="426"/>
        </w:tabs>
        <w:spacing w:after="0" w:line="240" w:lineRule="auto"/>
        <w:contextualSpacing/>
        <w:rPr>
          <w:rFonts w:asciiTheme="majorBidi" w:eastAsiaTheme="minorEastAsia" w:hAnsiTheme="majorBidi" w:cs="Times New Roman"/>
          <w:b/>
          <w:bCs/>
          <w:i/>
          <w:iCs/>
        </w:rPr>
      </w:pPr>
      <w:r w:rsidRPr="00921344">
        <w:rPr>
          <w:rFonts w:asciiTheme="majorBidi" w:eastAsiaTheme="minorEastAsia" w:hAnsiTheme="majorBidi" w:cs="Times New Roman"/>
          <w:b/>
          <w:bCs/>
          <w:i/>
          <w:iCs/>
        </w:rPr>
        <w:t xml:space="preserve">Exclusion criteria </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4860"/>
      </w:tblGrid>
      <w:tr w:rsidR="008E1E9B" w:rsidRPr="00921344" w:rsidTr="00135A7C">
        <w:tc>
          <w:tcPr>
            <w:tcW w:w="4779" w:type="dxa"/>
            <w:shd w:val="clear" w:color="auto" w:fill="D9D9D9" w:themeFill="background1" w:themeFillShade="D9"/>
          </w:tcPr>
          <w:p w:rsidR="008E1E9B" w:rsidRPr="00921344" w:rsidRDefault="008E1E9B" w:rsidP="00135A7C">
            <w:pPr>
              <w:rPr>
                <w:rFonts w:asciiTheme="majorBidi" w:hAnsiTheme="majorBidi" w:cs="Times New Roman"/>
                <w:i/>
                <w:iCs/>
              </w:rPr>
            </w:pPr>
            <w:r w:rsidRPr="00921344">
              <w:rPr>
                <w:rFonts w:asciiTheme="majorBidi" w:hAnsiTheme="majorBidi" w:cs="Times New Roman"/>
              </w:rPr>
              <w:t>Neurological and radicular dysfunctions</w:t>
            </w:r>
          </w:p>
        </w:tc>
        <w:tc>
          <w:tcPr>
            <w:tcW w:w="4860" w:type="dxa"/>
            <w:shd w:val="clear" w:color="auto" w:fill="D9D9D9" w:themeFill="background1" w:themeFillShade="D9"/>
          </w:tcPr>
          <w:p w:rsidR="008E1E9B" w:rsidRPr="00921344" w:rsidRDefault="008E1E9B" w:rsidP="00135A7C">
            <w:pPr>
              <w:rPr>
                <w:rFonts w:asciiTheme="majorBidi" w:hAnsiTheme="majorBidi" w:cs="Times New Roman"/>
                <w:i/>
                <w:iCs/>
              </w:rPr>
            </w:pPr>
            <w:r w:rsidRPr="00921344">
              <w:rPr>
                <w:rFonts w:asciiTheme="majorBidi" w:hAnsiTheme="majorBidi" w:cs="Times New Roman"/>
              </w:rPr>
              <w:t xml:space="preserve">Steroid injection into the elbow (previous 1 month)  </w:t>
            </w:r>
          </w:p>
        </w:tc>
      </w:tr>
      <w:tr w:rsidR="008E1E9B" w:rsidRPr="00921344" w:rsidTr="00135A7C">
        <w:tc>
          <w:tcPr>
            <w:tcW w:w="4779" w:type="dxa"/>
            <w:shd w:val="clear" w:color="auto" w:fill="D9D9D9" w:themeFill="background1" w:themeFillShade="D9"/>
          </w:tcPr>
          <w:p w:rsidR="008E1E9B" w:rsidRPr="00921344" w:rsidRDefault="008E1E9B" w:rsidP="00135A7C">
            <w:pPr>
              <w:rPr>
                <w:rFonts w:asciiTheme="majorBidi" w:hAnsiTheme="majorBidi" w:cs="Times New Roman"/>
                <w:i/>
                <w:iCs/>
              </w:rPr>
            </w:pPr>
            <w:r w:rsidRPr="00921344">
              <w:rPr>
                <w:rFonts w:asciiTheme="majorBidi" w:hAnsiTheme="majorBidi" w:cs="Times New Roman"/>
              </w:rPr>
              <w:t>History of fracture/surgery in the forequarter (past 2 y)</w:t>
            </w:r>
          </w:p>
        </w:tc>
        <w:tc>
          <w:tcPr>
            <w:tcW w:w="4860" w:type="dxa"/>
            <w:shd w:val="clear" w:color="auto" w:fill="D9D9D9" w:themeFill="background1" w:themeFillShade="D9"/>
          </w:tcPr>
          <w:p w:rsidR="008E1E9B" w:rsidRPr="00921344" w:rsidRDefault="008E1E9B" w:rsidP="00135A7C">
            <w:pPr>
              <w:rPr>
                <w:rFonts w:asciiTheme="majorBidi" w:hAnsiTheme="majorBidi" w:cs="Times New Roman"/>
              </w:rPr>
            </w:pPr>
            <w:r w:rsidRPr="00921344">
              <w:rPr>
                <w:rFonts w:asciiTheme="majorBidi" w:hAnsiTheme="majorBidi" w:cs="Times New Roman"/>
              </w:rPr>
              <w:t>Contraindications to cold application</w:t>
            </w:r>
          </w:p>
          <w:p w:rsidR="008E1E9B" w:rsidRPr="00921344" w:rsidRDefault="008E1E9B" w:rsidP="00135A7C">
            <w:pPr>
              <w:rPr>
                <w:rFonts w:asciiTheme="majorBidi" w:hAnsiTheme="majorBidi" w:cs="Times New Roman"/>
                <w:i/>
                <w:iCs/>
              </w:rPr>
            </w:pPr>
            <w:r w:rsidRPr="00921344">
              <w:rPr>
                <w:rFonts w:asciiTheme="majorBidi" w:hAnsiTheme="majorBidi" w:cs="Times New Roman"/>
              </w:rPr>
              <w:t>Inability to communicate in English</w:t>
            </w:r>
          </w:p>
        </w:tc>
      </w:tr>
      <w:tr w:rsidR="008E1E9B" w:rsidRPr="00921344" w:rsidTr="00135A7C">
        <w:tc>
          <w:tcPr>
            <w:tcW w:w="4779" w:type="dxa"/>
            <w:shd w:val="clear" w:color="auto" w:fill="D9D9D9" w:themeFill="background1" w:themeFillShade="D9"/>
          </w:tcPr>
          <w:p w:rsidR="008E1E9B" w:rsidRPr="00921344" w:rsidRDefault="008E1E9B" w:rsidP="00135A7C">
            <w:pPr>
              <w:rPr>
                <w:rFonts w:asciiTheme="majorBidi" w:hAnsiTheme="majorBidi" w:cs="Times New Roman"/>
                <w:i/>
                <w:iCs/>
              </w:rPr>
            </w:pPr>
            <w:r w:rsidRPr="00921344">
              <w:rPr>
                <w:rFonts w:asciiTheme="majorBidi" w:hAnsiTheme="majorBidi" w:cs="Times New Roman"/>
              </w:rPr>
              <w:t>History of generalized arthritis</w:t>
            </w:r>
          </w:p>
        </w:tc>
        <w:tc>
          <w:tcPr>
            <w:tcW w:w="4860" w:type="dxa"/>
            <w:shd w:val="clear" w:color="auto" w:fill="D9D9D9" w:themeFill="background1" w:themeFillShade="D9"/>
          </w:tcPr>
          <w:p w:rsidR="008E1E9B" w:rsidRPr="00921344" w:rsidRDefault="008E1E9B" w:rsidP="00135A7C">
            <w:pPr>
              <w:rPr>
                <w:rFonts w:asciiTheme="majorBidi" w:hAnsiTheme="majorBidi" w:cs="Times New Roman"/>
                <w:i/>
                <w:iCs/>
              </w:rPr>
            </w:pPr>
          </w:p>
        </w:tc>
      </w:tr>
      <w:tr w:rsidR="008E1E9B" w:rsidRPr="00921344" w:rsidTr="00135A7C">
        <w:tc>
          <w:tcPr>
            <w:tcW w:w="4779" w:type="dxa"/>
            <w:shd w:val="clear" w:color="auto" w:fill="D9D9D9" w:themeFill="background1" w:themeFillShade="D9"/>
          </w:tcPr>
          <w:p w:rsidR="008E1E9B" w:rsidRPr="00921344" w:rsidRDefault="008E1E9B" w:rsidP="00135A7C">
            <w:pPr>
              <w:rPr>
                <w:rFonts w:asciiTheme="majorBidi" w:hAnsiTheme="majorBidi" w:cs="Times New Roman"/>
                <w:i/>
                <w:iCs/>
              </w:rPr>
            </w:pPr>
            <w:r w:rsidRPr="00921344">
              <w:rPr>
                <w:rFonts w:asciiTheme="majorBidi" w:hAnsiTheme="majorBidi" w:cs="Times New Roman"/>
              </w:rPr>
              <w:t>Present or chronic use of anti-depressants</w:t>
            </w:r>
          </w:p>
        </w:tc>
        <w:tc>
          <w:tcPr>
            <w:tcW w:w="4860" w:type="dxa"/>
            <w:shd w:val="clear" w:color="auto" w:fill="D9D9D9" w:themeFill="background1" w:themeFillShade="D9"/>
          </w:tcPr>
          <w:p w:rsidR="008E1E9B" w:rsidRPr="00921344" w:rsidRDefault="008E1E9B" w:rsidP="00135A7C">
            <w:pPr>
              <w:rPr>
                <w:rFonts w:asciiTheme="majorBidi" w:hAnsiTheme="majorBidi" w:cs="Times New Roman"/>
                <w:i/>
                <w:iCs/>
              </w:rPr>
            </w:pPr>
          </w:p>
        </w:tc>
      </w:tr>
    </w:tbl>
    <w:p w:rsidR="008E1E9B" w:rsidRPr="00921344" w:rsidRDefault="008E1E9B" w:rsidP="008E1E9B">
      <w:pPr>
        <w:tabs>
          <w:tab w:val="left" w:pos="284"/>
        </w:tabs>
        <w:spacing w:after="0" w:line="240" w:lineRule="auto"/>
        <w:jc w:val="both"/>
        <w:rPr>
          <w:rFonts w:asciiTheme="majorBidi" w:eastAsia="Times New Roman" w:hAnsiTheme="majorBidi" w:cs="Times New Roman"/>
        </w:rPr>
      </w:pPr>
    </w:p>
    <w:p w:rsidR="008E1E9B" w:rsidRPr="00921344" w:rsidRDefault="008E1E9B" w:rsidP="008E1E9B">
      <w:pPr>
        <w:jc w:val="both"/>
        <w:rPr>
          <w:rFonts w:asciiTheme="majorBidi" w:hAnsiTheme="majorBidi" w:cstheme="majorBidi"/>
        </w:rPr>
      </w:pPr>
      <w:r w:rsidRPr="00921344">
        <w:rPr>
          <w:rFonts w:asciiTheme="majorBidi" w:eastAsia="Times New Roman" w:hAnsiTheme="majorBidi" w:cstheme="majorBidi"/>
        </w:rPr>
        <w:t>To confirm that the eligibility criteria are met, a thorough clinical examination of all subjects will be carried out prior to commencing the study. Subjects will also be required to initially complete Adult Pre-exercise Screening System (APSS) tool, which is an Australian screening tool developed by E</w:t>
      </w:r>
      <w:r w:rsidRPr="00921344">
        <w:rPr>
          <w:rFonts w:asciiTheme="majorBidi" w:hAnsiTheme="majorBidi" w:cstheme="majorBidi"/>
        </w:rPr>
        <w:t xml:space="preserve">xercise and Sport Science Australia (ESSA), Fitness Australia (FA), and Sports Medicine Australia (SMA) </w:t>
      </w:r>
      <w:r w:rsidRPr="00921344">
        <w:rPr>
          <w:rFonts w:asciiTheme="majorBidi" w:eastAsia="Times New Roman" w:hAnsiTheme="majorBidi" w:cstheme="majorBidi"/>
        </w:rPr>
        <w:t>to examine participants’ eligibility and safety for aerobic exercise testing (Norton &amp; Norton 2011). All testing will be carried out at the Physiotherapy Clinic, School of Physiotherapy and Exercise Science, Curtin University. Subjects will be asked to avoid taking pain medications 24 hours prior to initial testing.</w:t>
      </w:r>
    </w:p>
    <w:p w:rsidR="008E1E9B" w:rsidRPr="00921344" w:rsidRDefault="008E1E9B" w:rsidP="008E1E9B">
      <w:pPr>
        <w:tabs>
          <w:tab w:val="left" w:pos="284"/>
        </w:tabs>
        <w:spacing w:after="0" w:line="240" w:lineRule="auto"/>
        <w:jc w:val="both"/>
        <w:rPr>
          <w:rFonts w:asciiTheme="majorBidi" w:eastAsia="Times New Roman" w:hAnsiTheme="majorBidi" w:cs="Times New Roman"/>
          <w:b/>
          <w:bCs/>
        </w:rPr>
      </w:pPr>
      <w:r w:rsidRPr="00921344">
        <w:rPr>
          <w:rFonts w:asciiTheme="majorBidi" w:eastAsia="Times New Roman" w:hAnsiTheme="majorBidi" w:cs="Times New Roman"/>
          <w:b/>
          <w:bCs/>
        </w:rPr>
        <w:t>Physical activity level outcome measure</w:t>
      </w:r>
    </w:p>
    <w:p w:rsidR="008E1E9B" w:rsidRPr="00921344" w:rsidRDefault="008E1E9B" w:rsidP="008E1E9B">
      <w:pPr>
        <w:tabs>
          <w:tab w:val="left" w:pos="284"/>
        </w:tabs>
        <w:spacing w:after="0" w:line="240" w:lineRule="auto"/>
        <w:jc w:val="both"/>
        <w:rPr>
          <w:rFonts w:asciiTheme="majorBidi" w:eastAsia="Times New Roman" w:hAnsiTheme="majorBidi" w:cs="Times New Roman"/>
        </w:rPr>
      </w:pPr>
      <w:r w:rsidRPr="00921344">
        <w:rPr>
          <w:rFonts w:asciiTheme="majorBidi" w:eastAsia="Times New Roman" w:hAnsiTheme="majorBidi" w:cs="Times New Roman"/>
        </w:rPr>
        <w:t>All eligible participan</w:t>
      </w:r>
      <w:r>
        <w:rPr>
          <w:rFonts w:asciiTheme="majorBidi" w:eastAsia="Times New Roman" w:hAnsiTheme="majorBidi" w:cs="Times New Roman"/>
        </w:rPr>
        <w:t xml:space="preserve">ts need to report their typical </w:t>
      </w:r>
      <w:r w:rsidRPr="00921344">
        <w:rPr>
          <w:rFonts w:asciiTheme="majorBidi" w:eastAsia="Times New Roman" w:hAnsiTheme="majorBidi" w:cs="Times New Roman"/>
        </w:rPr>
        <w:t xml:space="preserve">week physical activity level </w:t>
      </w:r>
      <w:r>
        <w:rPr>
          <w:rFonts w:asciiTheme="majorBidi" w:eastAsia="Times New Roman" w:hAnsiTheme="majorBidi" w:cs="Times New Roman"/>
        </w:rPr>
        <w:t xml:space="preserve">using the Global Physical Activity Questionnaire (GPAQ) </w:t>
      </w:r>
      <w:r w:rsidRPr="00921344">
        <w:rPr>
          <w:rFonts w:asciiTheme="majorBidi" w:eastAsia="Times New Roman" w:hAnsiTheme="majorBidi" w:cs="Times New Roman"/>
        </w:rPr>
        <w:t>(</w:t>
      </w:r>
      <w:r>
        <w:rPr>
          <w:rFonts w:asciiTheme="majorBidi" w:eastAsia="Times New Roman" w:hAnsiTheme="majorBidi" w:cs="Times New Roman"/>
        </w:rPr>
        <w:t>WHO 2005</w:t>
      </w:r>
      <w:r w:rsidRPr="00921344">
        <w:rPr>
          <w:rFonts w:asciiTheme="majorBidi" w:eastAsia="Times New Roman" w:hAnsiTheme="majorBidi" w:cs="Times New Roman"/>
        </w:rPr>
        <w:t xml:space="preserve">). </w:t>
      </w:r>
      <w:r>
        <w:rPr>
          <w:rFonts w:asciiTheme="majorBidi" w:eastAsia="Times New Roman" w:hAnsiTheme="majorBidi" w:cs="Times New Roman"/>
        </w:rPr>
        <w:t>It is a 16-questions self-reported questionnaires measuring physical activity levels in three main areas: work, transport and recreation. The GPAQ is shown to be an adequately reliable measure of physical activity, with a low-to-moderate validity (Herrmann et al. 2013).</w:t>
      </w:r>
    </w:p>
    <w:p w:rsidR="008E1E9B" w:rsidRDefault="008E1E9B" w:rsidP="008E1E9B">
      <w:pPr>
        <w:tabs>
          <w:tab w:val="left" w:pos="284"/>
        </w:tabs>
        <w:spacing w:after="0" w:line="240" w:lineRule="auto"/>
        <w:jc w:val="both"/>
        <w:rPr>
          <w:rFonts w:asciiTheme="majorBidi" w:eastAsia="Times New Roman" w:hAnsiTheme="majorBidi" w:cs="Times New Roman"/>
          <w:b/>
          <w:bCs/>
        </w:rPr>
      </w:pPr>
    </w:p>
    <w:p w:rsidR="008E1E9B" w:rsidRPr="00921344" w:rsidRDefault="008E1E9B" w:rsidP="008E1E9B">
      <w:pPr>
        <w:tabs>
          <w:tab w:val="left" w:pos="284"/>
        </w:tabs>
        <w:spacing w:after="0" w:line="240" w:lineRule="auto"/>
        <w:jc w:val="both"/>
        <w:rPr>
          <w:rFonts w:asciiTheme="majorBidi" w:eastAsia="Times New Roman" w:hAnsiTheme="majorBidi" w:cs="Times New Roman"/>
        </w:rPr>
      </w:pPr>
      <w:r w:rsidRPr="00921344">
        <w:rPr>
          <w:rFonts w:asciiTheme="majorBidi" w:eastAsia="Times New Roman" w:hAnsiTheme="majorBidi" w:cs="Times New Roman"/>
          <w:b/>
          <w:bCs/>
        </w:rPr>
        <w:t xml:space="preserve">Pain-related outcome measures </w:t>
      </w:r>
    </w:p>
    <w:p w:rsidR="008E1E9B" w:rsidRPr="00921344" w:rsidRDefault="008E1E9B" w:rsidP="008E1E9B">
      <w:pPr>
        <w:spacing w:after="0" w:line="240" w:lineRule="auto"/>
        <w:jc w:val="both"/>
        <w:rPr>
          <w:rFonts w:asciiTheme="majorBidi" w:eastAsia="Times New Roman" w:hAnsiTheme="majorBidi" w:cs="Times New Roman"/>
        </w:rPr>
      </w:pPr>
      <w:r w:rsidRPr="00921344">
        <w:rPr>
          <w:rFonts w:asciiTheme="majorBidi" w:eastAsia="Times New Roman" w:hAnsiTheme="majorBidi" w:cs="Times New Roman"/>
          <w:b/>
          <w:bCs/>
        </w:rPr>
        <w:t>Pressure pain threshold (PPT)</w:t>
      </w:r>
    </w:p>
    <w:p w:rsidR="008E1E9B" w:rsidRPr="00921344" w:rsidRDefault="008E1E9B" w:rsidP="008E1E9B">
      <w:pPr>
        <w:spacing w:after="0"/>
        <w:jc w:val="both"/>
        <w:rPr>
          <w:rFonts w:asciiTheme="majorBidi" w:eastAsia="Times New Roman" w:hAnsiTheme="majorBidi" w:cs="Times New Roman"/>
        </w:rPr>
      </w:pPr>
      <w:r w:rsidRPr="00921344">
        <w:rPr>
          <w:rFonts w:asciiTheme="majorBidi" w:eastAsia="Times New Roman" w:hAnsiTheme="majorBidi" w:cs="Times New Roman"/>
        </w:rPr>
        <w:t xml:space="preserve">PPT will be measured using an electronic digital algometer (Somedic AB, Sweden) </w:t>
      </w:r>
      <w:r>
        <w:rPr>
          <w:rFonts w:asciiTheme="majorBidi" w:eastAsia="Times New Roman" w:hAnsiTheme="majorBidi" w:cs="Times New Roman"/>
        </w:rPr>
        <w:t>with</w:t>
      </w:r>
      <w:r w:rsidRPr="00921344">
        <w:rPr>
          <w:rFonts w:asciiTheme="majorBidi" w:eastAsia="Times New Roman" w:hAnsiTheme="majorBidi" w:cs="Times New Roman"/>
        </w:rPr>
        <w:t xml:space="preserve"> standard methodology (</w:t>
      </w:r>
      <w:hyperlink r:id="rId7" w:history="1">
        <w:r w:rsidRPr="00921344">
          <w:rPr>
            <w:rFonts w:asciiTheme="majorBidi" w:eastAsia="Times New Roman" w:hAnsiTheme="majorBidi" w:cs="Times New Roman"/>
          </w:rPr>
          <w:t>Coombes</w:t>
        </w:r>
      </w:hyperlink>
      <w:r w:rsidRPr="00921344">
        <w:rPr>
          <w:rFonts w:asciiTheme="majorBidi" w:eastAsia="Times New Roman" w:hAnsiTheme="majorBidi" w:cs="Times New Roman"/>
        </w:rPr>
        <w:t xml:space="preserve"> et al. 2015). PPT is a highly reliable measure for assessment of pain in LE (ICC &gt; 0.86) (Fernández-Carnero et al. 2009). The assessor will identify the most tender point at the lateral aspect of the affected elbow by palpation. He will also identify a mid-point on the posterior aspect of the wrist, 2 cm proximal to the wrist crease. These measurement sites</w:t>
      </w:r>
      <w:r w:rsidRPr="00921344" w:rsidDel="000E3F8A">
        <w:rPr>
          <w:rFonts w:asciiTheme="majorBidi" w:eastAsia="Times New Roman" w:hAnsiTheme="majorBidi" w:cs="Times New Roman"/>
        </w:rPr>
        <w:t xml:space="preserve"> </w:t>
      </w:r>
      <w:r w:rsidRPr="00921344">
        <w:rPr>
          <w:rFonts w:asciiTheme="majorBidi" w:eastAsia="Times New Roman" w:hAnsiTheme="majorBidi" w:cs="Times New Roman"/>
        </w:rPr>
        <w:t>will then be marked. The participant will be sitting on a chair of adjustable height so the forearm is comfortably positioned in pronation on a table. A 1 cm² algometer tip will be applied perpendicularly over each marked site by the assessor and the pressure stimulus applied at a standard rate of 40 kPa/s. The participant will be instructed to push a control switch at the moment they perceive the pressure becoming painful. PPT measures are the pressure value (kPa) recorded from the algometer.</w:t>
      </w:r>
      <w:r w:rsidRPr="00921344" w:rsidDel="00061466">
        <w:rPr>
          <w:rFonts w:asciiTheme="majorBidi" w:eastAsia="Times New Roman" w:hAnsiTheme="majorBidi" w:cs="Times New Roman"/>
        </w:rPr>
        <w:t xml:space="preserve"> </w:t>
      </w:r>
      <w:r w:rsidRPr="00921344">
        <w:rPr>
          <w:rFonts w:asciiTheme="majorBidi" w:eastAsia="Times New Roman" w:hAnsiTheme="majorBidi" w:cs="Times New Roman"/>
        </w:rPr>
        <w:t>The test procedure will first be conducted at the unaffected forearm for familiarization. Three PPT measurements will be taken at each site on the symptomatic side with 10-15 s intervals between each. Mean values will be used in analysis.</w:t>
      </w:r>
    </w:p>
    <w:p w:rsidR="008E1E9B" w:rsidRPr="00921344" w:rsidRDefault="008E1E9B" w:rsidP="008E1E9B">
      <w:pPr>
        <w:tabs>
          <w:tab w:val="left" w:pos="284"/>
        </w:tabs>
        <w:spacing w:after="0" w:line="240" w:lineRule="auto"/>
        <w:jc w:val="both"/>
        <w:rPr>
          <w:rFonts w:asciiTheme="majorBidi" w:eastAsia="Times New Roman" w:hAnsiTheme="majorBidi" w:cs="Times New Roman"/>
        </w:rPr>
      </w:pPr>
    </w:p>
    <w:p w:rsidR="008E1E9B" w:rsidRPr="00921344" w:rsidRDefault="008E1E9B" w:rsidP="008E1E9B">
      <w:pPr>
        <w:spacing w:after="0"/>
        <w:jc w:val="both"/>
        <w:rPr>
          <w:rFonts w:asciiTheme="majorBidi" w:eastAsia="Times New Roman" w:hAnsiTheme="majorBidi" w:cs="Times New Roman"/>
        </w:rPr>
      </w:pPr>
      <w:r w:rsidRPr="00921344">
        <w:rPr>
          <w:rFonts w:asciiTheme="majorBidi" w:eastAsia="Times New Roman" w:hAnsiTheme="majorBidi" w:cs="Times New Roman"/>
          <w:b/>
          <w:bCs/>
        </w:rPr>
        <w:t>Pain free grip (PFG)</w:t>
      </w:r>
    </w:p>
    <w:p w:rsidR="008E1E9B" w:rsidRPr="00921344" w:rsidRDefault="008E1E9B" w:rsidP="008E1E9B">
      <w:pPr>
        <w:spacing w:after="0"/>
        <w:jc w:val="both"/>
        <w:rPr>
          <w:rFonts w:asciiTheme="majorBidi" w:eastAsia="Times New Roman" w:hAnsiTheme="majorBidi" w:cs="Times New Roman"/>
        </w:rPr>
      </w:pPr>
      <w:r w:rsidRPr="00921344">
        <w:rPr>
          <w:rFonts w:asciiTheme="majorBidi" w:eastAsia="Times New Roman" w:hAnsiTheme="majorBidi" w:cs="Times New Roman"/>
        </w:rPr>
        <w:t>Pain on gripping is a clinical sign of LE (Vicenzino et al. 1998). Pain free grip (PFG) refers to the amount of grip force that can be applied prior to the onset of pain (Paungmali et al. 2003). PFG will be measured with an electronic digital dynamometer (MIE, Medical Research Ltd.) using standard methodology (</w:t>
      </w:r>
      <w:hyperlink r:id="rId8" w:history="1">
        <w:r w:rsidRPr="00921344">
          <w:rPr>
            <w:rFonts w:asciiTheme="majorBidi" w:eastAsia="Times New Roman" w:hAnsiTheme="majorBidi" w:cs="Times New Roman"/>
          </w:rPr>
          <w:t>Coombes</w:t>
        </w:r>
      </w:hyperlink>
      <w:r w:rsidRPr="00921344">
        <w:rPr>
          <w:rFonts w:asciiTheme="majorBidi" w:eastAsia="Times New Roman" w:hAnsiTheme="majorBidi" w:cs="Times New Roman"/>
        </w:rPr>
        <w:t xml:space="preserve"> et al. 2015). It is both a reliable (ICC &gt; 0.97) (Smidt et al. 2002) and valid (Paungmali et al. 2003) measure used in patients with LE. The participant will be lying supine with the arm by their side positioned in elbow extension and forearm pronation. They will then be requested to squeeze the dynamometer handles until they first feel their lateral elbow pain, and then to stop the squeezing action. The PFG force value is then recorded from the digital display. The PFG test will be performed three times with 10-20 s rest intervals in between. The average value will then be used for analysis.  </w:t>
      </w:r>
    </w:p>
    <w:p w:rsidR="008E1E9B" w:rsidRPr="00921344" w:rsidRDefault="008E1E9B" w:rsidP="008E1E9B">
      <w:pPr>
        <w:tabs>
          <w:tab w:val="left" w:pos="284"/>
        </w:tabs>
        <w:spacing w:after="0" w:line="240" w:lineRule="auto"/>
        <w:jc w:val="both"/>
        <w:rPr>
          <w:rFonts w:asciiTheme="majorBidi" w:eastAsia="Times New Roman" w:hAnsiTheme="majorBidi" w:cs="Times New Roman"/>
        </w:rPr>
      </w:pPr>
    </w:p>
    <w:p w:rsidR="008E1E9B" w:rsidRPr="00921344" w:rsidRDefault="008E1E9B" w:rsidP="008E1E9B">
      <w:pPr>
        <w:spacing w:after="0" w:line="240" w:lineRule="auto"/>
        <w:jc w:val="both"/>
        <w:rPr>
          <w:rFonts w:asciiTheme="majorBidi" w:eastAsia="Times New Roman" w:hAnsiTheme="majorBidi" w:cs="Times New Roman"/>
          <w:i/>
          <w:iCs/>
        </w:rPr>
      </w:pPr>
      <w:r w:rsidRPr="00921344">
        <w:rPr>
          <w:rFonts w:asciiTheme="majorBidi" w:eastAsia="Times New Roman" w:hAnsiTheme="majorBidi" w:cs="Times New Roman"/>
          <w:b/>
          <w:bCs/>
        </w:rPr>
        <w:t>Upper limb neurodynamic test (ULNDT) with radial nerve bias</w:t>
      </w:r>
    </w:p>
    <w:p w:rsidR="008E1E9B" w:rsidRPr="00921344" w:rsidRDefault="008E1E9B" w:rsidP="008E1E9B">
      <w:pPr>
        <w:spacing w:after="0" w:line="240" w:lineRule="auto"/>
        <w:jc w:val="both"/>
        <w:rPr>
          <w:rFonts w:asciiTheme="majorBidi" w:eastAsia="Times New Roman" w:hAnsiTheme="majorBidi" w:cs="Times New Roman"/>
          <w:b/>
          <w:bCs/>
        </w:rPr>
      </w:pPr>
      <w:r w:rsidRPr="00921344">
        <w:rPr>
          <w:rFonts w:asciiTheme="majorBidi" w:eastAsia="Times New Roman" w:hAnsiTheme="majorBidi" w:cs="Times New Roman"/>
        </w:rPr>
        <w:t xml:space="preserve">The upper limb neurodynamic test (ULNDT) with radial nerve bias will be used to assess primarily neural mobility of the forequarter (Butler 2000). Painfree range of motion in the test is restricted in patients with LE (Yaxley &amp; Jull 1993). The participant’s arm will be progressively positioned in scapular depression and protraction, elbow extension, internal rotation, forearm pronation, wrist and finger flexion. Scapular depression will be sustained while performing the test. The shoulder will then be slowly taken into abduction. The participant will be instructed </w:t>
      </w:r>
      <w:r w:rsidRPr="00921344">
        <w:rPr>
          <w:rFonts w:asciiTheme="majorBidi" w:eastAsia="Times New Roman" w:hAnsiTheme="majorBidi" w:cs="Times New Roman"/>
        </w:rPr>
        <w:lastRenderedPageBreak/>
        <w:t xml:space="preserve">to depress a switch at the onset of pain with this movement and the arm will be returned to the start position. The shoulder abduction range at the onset of pain will be measured using an M180 twin axis electrogoniometer (Penny &amp; Giles, United Kingdom) positioned over the anterior shoulder (Vicenzino et al. 1996). Three readings will be taken with 20-30 s intervals in between. The average of these readings will be used for analysis.  </w:t>
      </w:r>
    </w:p>
    <w:p w:rsidR="008E1E9B" w:rsidRPr="00921344" w:rsidRDefault="008E1E9B" w:rsidP="008E1E9B">
      <w:pPr>
        <w:tabs>
          <w:tab w:val="left" w:pos="284"/>
        </w:tabs>
        <w:spacing w:after="0" w:line="240" w:lineRule="auto"/>
        <w:jc w:val="both"/>
        <w:rPr>
          <w:rFonts w:asciiTheme="majorBidi" w:eastAsia="Times New Roman" w:hAnsiTheme="majorBidi" w:cs="Times New Roman"/>
        </w:rPr>
      </w:pPr>
    </w:p>
    <w:p w:rsidR="008E1E9B" w:rsidRPr="00921344" w:rsidRDefault="008E1E9B" w:rsidP="008E1E9B">
      <w:pPr>
        <w:spacing w:after="0" w:line="240" w:lineRule="auto"/>
        <w:jc w:val="both"/>
        <w:rPr>
          <w:rFonts w:asciiTheme="majorBidi" w:eastAsia="Times New Roman" w:hAnsiTheme="majorBidi" w:cs="Times New Roman"/>
        </w:rPr>
      </w:pPr>
      <w:r w:rsidRPr="00921344">
        <w:rPr>
          <w:rFonts w:asciiTheme="majorBidi" w:eastAsia="Times New Roman" w:hAnsiTheme="majorBidi" w:cs="Times New Roman"/>
          <w:b/>
          <w:bCs/>
        </w:rPr>
        <w:t xml:space="preserve">Assessment protocols </w:t>
      </w:r>
      <w:r w:rsidRPr="00921344">
        <w:rPr>
          <w:rFonts w:asciiTheme="majorBidi" w:eastAsia="Times New Roman" w:hAnsiTheme="majorBidi" w:cs="Times New Roman"/>
        </w:rPr>
        <w:t xml:space="preserve">  </w:t>
      </w:r>
    </w:p>
    <w:p w:rsidR="008E1E9B" w:rsidRPr="00921344" w:rsidRDefault="008E1E9B" w:rsidP="008E1E9B">
      <w:pPr>
        <w:spacing w:after="0" w:line="240" w:lineRule="auto"/>
        <w:jc w:val="both"/>
        <w:rPr>
          <w:rFonts w:asciiTheme="majorBidi" w:eastAsia="Times New Roman" w:hAnsiTheme="majorBidi" w:cs="Times New Roman"/>
          <w:b/>
          <w:bCs/>
        </w:rPr>
      </w:pPr>
      <w:r w:rsidRPr="00921344">
        <w:rPr>
          <w:rFonts w:asciiTheme="majorBidi" w:eastAsia="Times New Roman" w:hAnsiTheme="majorBidi" w:cs="Times New Roman"/>
          <w:b/>
          <w:bCs/>
        </w:rPr>
        <w:t xml:space="preserve">Conditioned pain modulation (CPM) assessment protocol </w:t>
      </w:r>
    </w:p>
    <w:p w:rsidR="008E1E9B" w:rsidRPr="00921344" w:rsidRDefault="008E1E9B" w:rsidP="008E1E9B">
      <w:pPr>
        <w:spacing w:after="0" w:line="240" w:lineRule="auto"/>
        <w:jc w:val="both"/>
        <w:rPr>
          <w:rFonts w:asciiTheme="majorBidi" w:eastAsia="Times New Roman" w:hAnsiTheme="majorBidi" w:cs="Times New Roman"/>
        </w:rPr>
      </w:pPr>
      <w:r w:rsidRPr="00921344">
        <w:rPr>
          <w:rFonts w:asciiTheme="majorBidi" w:eastAsia="Times New Roman" w:hAnsiTheme="majorBidi" w:cs="Times New Roman"/>
          <w:b/>
          <w:bCs/>
          <w:i/>
        </w:rPr>
        <w:t>Test stimulus:</w:t>
      </w:r>
      <w:r w:rsidRPr="00921344">
        <w:rPr>
          <w:rFonts w:asciiTheme="majorBidi" w:eastAsia="Times New Roman" w:hAnsiTheme="majorBidi" w:cs="Times New Roman"/>
          <w:i/>
        </w:rPr>
        <w:t xml:space="preserve"> </w:t>
      </w:r>
      <w:r w:rsidRPr="00921344">
        <w:rPr>
          <w:rFonts w:asciiTheme="majorBidi" w:eastAsia="Times New Roman" w:hAnsiTheme="majorBidi" w:cs="Times New Roman"/>
        </w:rPr>
        <w:t xml:space="preserve">PPT will be used as the test stimulus, using an electronic digital algometer (Somedic AB, Sweden) as outlined above. It has been shown that PPT has a high intrarater reliability with excellent intraclass correlation coefficient (ICCs: 0.81-0.99) when measured at 4 different body sites (Waller et al. 2015). Participants will sit on a chair of adjustable height so the forearm is comfortably supported. PPT will be performed as outlined above on the two marked locations of the affected arm, which will be positioned in pronation on a table. PPT will be tested at baseline prior to cold water immersion, after 1 min during immersion, and 1 min post immersion. At each time point, PPT will be measured three times with 10-15 s rest intervals in between. The mean value of the three measurements at each point will be used for analysis.  </w:t>
      </w:r>
    </w:p>
    <w:p w:rsidR="008E1E9B" w:rsidRPr="00921344" w:rsidRDefault="008E1E9B" w:rsidP="008E1E9B">
      <w:pPr>
        <w:spacing w:after="0" w:line="240" w:lineRule="auto"/>
        <w:jc w:val="both"/>
        <w:rPr>
          <w:rFonts w:asciiTheme="majorBidi" w:eastAsia="Times New Roman" w:hAnsiTheme="majorBidi" w:cs="Times New Roman"/>
          <w:b/>
          <w:bCs/>
          <w:i/>
        </w:rPr>
      </w:pPr>
    </w:p>
    <w:p w:rsidR="008E1E9B" w:rsidRPr="00921344" w:rsidRDefault="008E1E9B" w:rsidP="008E1E9B">
      <w:pPr>
        <w:spacing w:after="0" w:line="240" w:lineRule="auto"/>
        <w:jc w:val="both"/>
        <w:rPr>
          <w:rFonts w:asciiTheme="majorBidi" w:eastAsia="Times New Roman" w:hAnsiTheme="majorBidi" w:cs="Times New Roman"/>
        </w:rPr>
      </w:pPr>
      <w:r w:rsidRPr="00921344">
        <w:rPr>
          <w:rFonts w:asciiTheme="majorBidi" w:eastAsia="Times New Roman" w:hAnsiTheme="majorBidi" w:cs="Times New Roman"/>
          <w:b/>
          <w:bCs/>
          <w:i/>
        </w:rPr>
        <w:t>Conditioning stimulus</w:t>
      </w:r>
      <w:r w:rsidRPr="00921344">
        <w:rPr>
          <w:rFonts w:asciiTheme="majorBidi" w:eastAsia="Times New Roman" w:hAnsiTheme="majorBidi" w:cs="Times New Roman"/>
          <w:i/>
        </w:rPr>
        <w:t xml:space="preserve">: </w:t>
      </w:r>
      <w:r w:rsidRPr="00921344">
        <w:rPr>
          <w:rFonts w:asciiTheme="majorBidi" w:eastAsia="Times New Roman" w:hAnsiTheme="majorBidi" w:cs="Times New Roman"/>
        </w:rPr>
        <w:t>The Cold Pressor Test (CPT) will be used as a conditioning stimulus to elicit the CPM response. The unaffected hand will be submerged 4 inches above the wrist crease in a cold water bath, with a temperature maintained at 7°C for a period of 2 min (Locke et al. 2014). The water bath contains a mix of water and ice and it is supplied with a circulating pump to ensure uniformity of water temperature at the skin. The difference between PPT measurements taken before and after water immersion represents the CPM effect. This will be quantified as the percentage change in PPT relative to the baseline measure. Separate percentage change measures will be obtained for the wrist and elbow sites.</w:t>
      </w:r>
    </w:p>
    <w:p w:rsidR="008E1E9B" w:rsidRPr="00921344" w:rsidRDefault="008E1E9B" w:rsidP="008E1E9B">
      <w:pPr>
        <w:spacing w:after="0" w:line="240" w:lineRule="auto"/>
        <w:jc w:val="both"/>
        <w:rPr>
          <w:rFonts w:asciiTheme="majorBidi" w:eastAsia="Times New Roman" w:hAnsiTheme="majorBidi" w:cs="Times New Roman"/>
        </w:rPr>
      </w:pPr>
    </w:p>
    <w:p w:rsidR="008E1E9B" w:rsidRPr="00921344" w:rsidRDefault="008E1E9B" w:rsidP="008E1E9B">
      <w:pPr>
        <w:spacing w:after="0" w:line="240" w:lineRule="auto"/>
        <w:jc w:val="both"/>
        <w:rPr>
          <w:rFonts w:asciiTheme="majorBidi" w:eastAsia="Times New Roman" w:hAnsiTheme="majorBidi" w:cs="Times New Roman"/>
        </w:rPr>
      </w:pPr>
      <w:r w:rsidRPr="00921344">
        <w:rPr>
          <w:rFonts w:asciiTheme="majorBidi" w:eastAsia="Times New Roman" w:hAnsiTheme="majorBidi" w:cs="Times New Roman"/>
          <w:b/>
          <w:bCs/>
        </w:rPr>
        <w:t xml:space="preserve">Manipulation induced pain modulation (MIPM) assessment protocol </w:t>
      </w:r>
    </w:p>
    <w:p w:rsidR="008E1E9B" w:rsidRPr="00921344" w:rsidRDefault="008E1E9B" w:rsidP="008E1E9B">
      <w:pPr>
        <w:spacing w:after="0" w:line="240" w:lineRule="auto"/>
        <w:jc w:val="both"/>
        <w:rPr>
          <w:rFonts w:asciiTheme="majorBidi" w:eastAsia="Times New Roman" w:hAnsiTheme="majorBidi" w:cs="Times New Roman"/>
        </w:rPr>
      </w:pPr>
      <w:r w:rsidRPr="00921344">
        <w:rPr>
          <w:rFonts w:asciiTheme="majorBidi" w:eastAsia="Times New Roman" w:hAnsiTheme="majorBidi" w:cs="Times New Roman"/>
        </w:rPr>
        <w:t>The existence of a MIPM effect will be assessed using a very similar protocol to CPM testing.</w:t>
      </w:r>
    </w:p>
    <w:p w:rsidR="008E1E9B" w:rsidRPr="00921344" w:rsidRDefault="008E1E9B" w:rsidP="008E1E9B">
      <w:pPr>
        <w:spacing w:after="0" w:line="240" w:lineRule="auto"/>
        <w:jc w:val="both"/>
        <w:rPr>
          <w:rFonts w:asciiTheme="majorBidi" w:eastAsia="Times New Roman" w:hAnsiTheme="majorBidi" w:cs="Times New Roman"/>
          <w:i/>
        </w:rPr>
      </w:pPr>
    </w:p>
    <w:p w:rsidR="008E1E9B" w:rsidRPr="00921344" w:rsidRDefault="008E1E9B" w:rsidP="008E1E9B">
      <w:pPr>
        <w:spacing w:after="0" w:line="240" w:lineRule="auto"/>
        <w:jc w:val="both"/>
        <w:rPr>
          <w:rFonts w:asciiTheme="majorBidi" w:eastAsia="Times New Roman" w:hAnsiTheme="majorBidi" w:cs="Times New Roman"/>
          <w:i/>
        </w:rPr>
      </w:pPr>
      <w:r w:rsidRPr="00921344">
        <w:rPr>
          <w:rFonts w:asciiTheme="majorBidi" w:eastAsia="Times New Roman" w:hAnsiTheme="majorBidi" w:cs="Times New Roman"/>
          <w:b/>
          <w:bCs/>
          <w:i/>
        </w:rPr>
        <w:t>Test stimulus</w:t>
      </w:r>
      <w:r w:rsidRPr="00921344">
        <w:rPr>
          <w:rFonts w:asciiTheme="majorBidi" w:eastAsia="Times New Roman" w:hAnsiTheme="majorBidi" w:cs="Times New Roman"/>
          <w:i/>
        </w:rPr>
        <w:t xml:space="preserve">: </w:t>
      </w:r>
      <w:r w:rsidRPr="00921344">
        <w:rPr>
          <w:rFonts w:asciiTheme="majorBidi" w:eastAsia="Times New Roman" w:hAnsiTheme="majorBidi" w:cs="Times New Roman"/>
        </w:rPr>
        <w:t>PPT will be the test stimulus. The PFG test, ULNDT with radial nerve bias and measures of PPT at both test sites will be carried out at baseline and then repeated immediately after the conditioning stimulus (C5/6 contralateral lateral glide mobilisation). Testing will be performed with the participants lying supine on a plinth. PFG and UNLDT will provide additional measures of the MIPM effect.</w:t>
      </w:r>
    </w:p>
    <w:p w:rsidR="008E1E9B" w:rsidRPr="00921344" w:rsidRDefault="008E1E9B" w:rsidP="008E1E9B">
      <w:pPr>
        <w:spacing w:after="0" w:line="240" w:lineRule="auto"/>
        <w:jc w:val="both"/>
        <w:rPr>
          <w:rFonts w:asciiTheme="majorBidi" w:eastAsia="Times New Roman" w:hAnsiTheme="majorBidi" w:cs="Times New Roman"/>
          <w:i/>
        </w:rPr>
      </w:pPr>
    </w:p>
    <w:p w:rsidR="008E1E9B" w:rsidRDefault="008E1E9B" w:rsidP="008E1E9B">
      <w:pPr>
        <w:spacing w:after="0" w:line="240" w:lineRule="auto"/>
        <w:jc w:val="both"/>
        <w:rPr>
          <w:rFonts w:asciiTheme="majorBidi" w:eastAsia="Times New Roman" w:hAnsiTheme="majorBidi" w:cs="Times New Roman"/>
          <w:b/>
          <w:bCs/>
        </w:rPr>
      </w:pPr>
      <w:r w:rsidRPr="00921344">
        <w:rPr>
          <w:rFonts w:asciiTheme="majorBidi" w:eastAsia="Times New Roman" w:hAnsiTheme="majorBidi" w:cs="Times New Roman"/>
          <w:b/>
          <w:bCs/>
          <w:i/>
        </w:rPr>
        <w:t>Conditioning stimulus</w:t>
      </w:r>
      <w:r w:rsidRPr="00921344">
        <w:rPr>
          <w:rFonts w:asciiTheme="majorBidi" w:eastAsia="Times New Roman" w:hAnsiTheme="majorBidi" w:cs="Times New Roman"/>
          <w:b/>
          <w:bCs/>
          <w:iCs/>
        </w:rPr>
        <w:t>:</w:t>
      </w:r>
      <w:r w:rsidRPr="00921344">
        <w:rPr>
          <w:rFonts w:asciiTheme="majorBidi" w:eastAsia="Times New Roman" w:hAnsiTheme="majorBidi" w:cs="Times New Roman"/>
          <w:i/>
        </w:rPr>
        <w:t xml:space="preserve"> </w:t>
      </w:r>
      <w:r w:rsidRPr="00921344">
        <w:rPr>
          <w:rFonts w:asciiTheme="majorBidi" w:eastAsia="Times New Roman" w:hAnsiTheme="majorBidi" w:cs="Times New Roman"/>
        </w:rPr>
        <w:t>a grade III passive oscillatory, contralateral lateral glide (CLG) mobilisation of the C5/6 motion segment of the cervical spine will be used to induce MIPM (Vicenzino et al. 1996). The participant will be comfortably lying supine with arms by their side and instructed to report if they feel any discomfort or pain during execution of the mobilisation. In contrast to CPM this conditioning stimulus should be painless. The therapist will depress the scapulae with one hand, while the other hand cradles the occiput and neck above the C5/6 segment. Using the cradling hand, the therapist will apply a grade III passive oscillatory CLG directed towards the unaffected upper limb.  The CLG stimulus will be performed for 60 s, and will be repeated three times, with 60-s rest periods in between (5 min total) (Vicenzino et al. 1996). The difference between PTT measurements taken before and after CLG mobilisation represents the MIPM effect. This will be quantified as the percentage change in PPT relative to the baseline measure. Separate percentage change measures will be obtained for the wrist and elbow sites and the PFG and ULNDT measures</w:t>
      </w:r>
      <w:r w:rsidRPr="00921344">
        <w:rPr>
          <w:rFonts w:asciiTheme="majorBidi" w:eastAsia="Times New Roman" w:hAnsiTheme="majorBidi" w:cs="Times New Roman"/>
          <w:b/>
          <w:bCs/>
        </w:rPr>
        <w:t xml:space="preserve">. </w:t>
      </w:r>
    </w:p>
    <w:p w:rsidR="008E1E9B" w:rsidRPr="00921344" w:rsidRDefault="008E1E9B" w:rsidP="008E1E9B">
      <w:pPr>
        <w:spacing w:after="0" w:line="240" w:lineRule="auto"/>
        <w:jc w:val="both"/>
        <w:rPr>
          <w:rFonts w:asciiTheme="majorBidi" w:eastAsia="Times New Roman" w:hAnsiTheme="majorBidi" w:cs="Times New Roman"/>
          <w:b/>
          <w:bCs/>
        </w:rPr>
      </w:pPr>
    </w:p>
    <w:p w:rsidR="008E1E9B" w:rsidRPr="003E24E9" w:rsidRDefault="008E1E9B" w:rsidP="008E1E9B">
      <w:pPr>
        <w:spacing w:after="0" w:line="240" w:lineRule="auto"/>
        <w:jc w:val="both"/>
        <w:rPr>
          <w:rFonts w:asciiTheme="majorBidi" w:hAnsiTheme="majorBidi" w:cstheme="majorBidi"/>
          <w:b/>
          <w:bCs/>
        </w:rPr>
      </w:pPr>
      <w:r w:rsidRPr="003E24E9">
        <w:rPr>
          <w:rFonts w:asciiTheme="majorBidi" w:hAnsiTheme="majorBidi" w:cstheme="majorBidi"/>
          <w:b/>
          <w:bCs/>
        </w:rPr>
        <w:t xml:space="preserve">Procedure </w:t>
      </w:r>
    </w:p>
    <w:p w:rsidR="008E1E9B" w:rsidRPr="00921344" w:rsidRDefault="008E1E9B" w:rsidP="008E1E9B">
      <w:pPr>
        <w:spacing w:after="0" w:line="240" w:lineRule="auto"/>
        <w:jc w:val="both"/>
        <w:rPr>
          <w:rFonts w:asciiTheme="majorBidi" w:eastAsia="Times New Roman" w:hAnsiTheme="majorBidi" w:cs="Times New Roman"/>
        </w:rPr>
      </w:pPr>
      <w:r>
        <w:rPr>
          <w:rFonts w:asciiTheme="majorBidi" w:hAnsiTheme="majorBidi" w:cstheme="majorBidi"/>
        </w:rPr>
        <w:t xml:space="preserve">Once eligibility criteria are confirmed, each participant will be asked to attend for preliminary assessment with CPM and MIPM assessment protocols </w:t>
      </w:r>
      <w:r w:rsidRPr="003E24E9">
        <w:rPr>
          <w:rFonts w:asciiTheme="majorBidi" w:hAnsiTheme="majorBidi" w:cstheme="majorBidi"/>
        </w:rPr>
        <w:t xml:space="preserve">in a single session. </w:t>
      </w:r>
      <w:r>
        <w:rPr>
          <w:rFonts w:asciiTheme="majorBidi" w:hAnsiTheme="majorBidi" w:cstheme="majorBidi"/>
        </w:rPr>
        <w:t xml:space="preserve">The </w:t>
      </w:r>
      <w:r w:rsidRPr="003E24E9">
        <w:rPr>
          <w:rFonts w:asciiTheme="majorBidi" w:hAnsiTheme="majorBidi" w:cstheme="majorBidi"/>
        </w:rPr>
        <w:t xml:space="preserve">CPM assessment protocol </w:t>
      </w:r>
      <w:r>
        <w:rPr>
          <w:rFonts w:asciiTheme="majorBidi" w:hAnsiTheme="majorBidi" w:cstheme="majorBidi"/>
        </w:rPr>
        <w:t xml:space="preserve">will be </w:t>
      </w:r>
      <w:r w:rsidRPr="003E24E9">
        <w:rPr>
          <w:rFonts w:asciiTheme="majorBidi" w:hAnsiTheme="majorBidi" w:cstheme="majorBidi"/>
        </w:rPr>
        <w:t xml:space="preserve">followed by </w:t>
      </w:r>
      <w:r>
        <w:rPr>
          <w:rFonts w:asciiTheme="majorBidi" w:hAnsiTheme="majorBidi" w:cstheme="majorBidi"/>
        </w:rPr>
        <w:t xml:space="preserve">the MIPM </w:t>
      </w:r>
      <w:r w:rsidRPr="003E24E9">
        <w:rPr>
          <w:rFonts w:asciiTheme="majorBidi" w:hAnsiTheme="majorBidi" w:cstheme="majorBidi"/>
        </w:rPr>
        <w:t>as</w:t>
      </w:r>
      <w:r>
        <w:rPr>
          <w:rFonts w:asciiTheme="majorBidi" w:hAnsiTheme="majorBidi" w:cstheme="majorBidi"/>
        </w:rPr>
        <w:t xml:space="preserve">sessment protocol </w:t>
      </w:r>
      <w:r w:rsidRPr="00604B77">
        <w:rPr>
          <w:rFonts w:asciiTheme="majorBidi" w:hAnsiTheme="majorBidi" w:cstheme="majorBidi"/>
        </w:rPr>
        <w:t xml:space="preserve">with a rest period of 15 min in between </w:t>
      </w:r>
      <w:r w:rsidRPr="00B46838">
        <w:rPr>
          <w:rFonts w:asciiTheme="majorBidi" w:hAnsiTheme="majorBidi" w:cstheme="majorBidi"/>
        </w:rPr>
        <w:t>(subject to the findings from Pilot Study: HRE2016-0181)</w:t>
      </w:r>
      <w:r>
        <w:rPr>
          <w:rFonts w:asciiTheme="majorBidi" w:hAnsiTheme="majorBidi" w:cstheme="majorBidi"/>
        </w:rPr>
        <w:t xml:space="preserve">. All </w:t>
      </w:r>
      <w:r w:rsidRPr="003E24E9">
        <w:rPr>
          <w:rFonts w:asciiTheme="majorBidi" w:hAnsiTheme="majorBidi" w:cstheme="majorBidi"/>
        </w:rPr>
        <w:t xml:space="preserve">outcome measures will be performed by the same researcher </w:t>
      </w:r>
      <w:r>
        <w:rPr>
          <w:rFonts w:asciiTheme="majorBidi" w:hAnsiTheme="majorBidi" w:cstheme="majorBidi"/>
        </w:rPr>
        <w:t>applying</w:t>
      </w:r>
      <w:r w:rsidRPr="003E24E9">
        <w:rPr>
          <w:rFonts w:asciiTheme="majorBidi" w:hAnsiTheme="majorBidi" w:cstheme="majorBidi"/>
        </w:rPr>
        <w:t xml:space="preserve"> the CPT and </w:t>
      </w:r>
      <w:r>
        <w:rPr>
          <w:rFonts w:asciiTheme="majorBidi" w:hAnsiTheme="majorBidi" w:cstheme="majorBidi"/>
        </w:rPr>
        <w:t>CLG</w:t>
      </w:r>
      <w:r w:rsidRPr="003E24E9">
        <w:rPr>
          <w:rFonts w:asciiTheme="majorBidi" w:hAnsiTheme="majorBidi" w:cstheme="majorBidi"/>
        </w:rPr>
        <w:t xml:space="preserve"> stimuli. </w:t>
      </w:r>
      <w:r>
        <w:rPr>
          <w:rFonts w:asciiTheme="majorBidi" w:hAnsiTheme="majorBidi" w:cstheme="majorBidi"/>
        </w:rPr>
        <w:t>All</w:t>
      </w:r>
      <w:r w:rsidRPr="003E24E9">
        <w:rPr>
          <w:rFonts w:asciiTheme="majorBidi" w:hAnsiTheme="majorBidi" w:cstheme="majorBidi"/>
        </w:rPr>
        <w:t xml:space="preserve"> instructions </w:t>
      </w:r>
      <w:r>
        <w:rPr>
          <w:rFonts w:asciiTheme="majorBidi" w:hAnsiTheme="majorBidi" w:cstheme="majorBidi"/>
        </w:rPr>
        <w:t>will be standardized.</w:t>
      </w:r>
      <w:r w:rsidRPr="003E24E9">
        <w:rPr>
          <w:rFonts w:asciiTheme="majorBidi" w:hAnsiTheme="majorBidi" w:cstheme="majorBidi"/>
        </w:rPr>
        <w:t xml:space="preserve"> </w:t>
      </w:r>
      <w:r w:rsidRPr="00921344">
        <w:rPr>
          <w:rFonts w:asciiTheme="majorBidi" w:eastAsia="Times New Roman" w:hAnsiTheme="majorBidi" w:cs="Times New Roman"/>
        </w:rPr>
        <w:t>Subjects will be asked to avoid</w:t>
      </w:r>
      <w:r>
        <w:rPr>
          <w:rFonts w:asciiTheme="majorBidi" w:eastAsia="Times New Roman" w:hAnsiTheme="majorBidi" w:cs="Times New Roman"/>
        </w:rPr>
        <w:t xml:space="preserve"> physiotherapy and </w:t>
      </w:r>
      <w:r w:rsidRPr="00921344">
        <w:rPr>
          <w:rFonts w:asciiTheme="majorBidi" w:eastAsia="Times New Roman" w:hAnsiTheme="majorBidi" w:cs="Times New Roman"/>
        </w:rPr>
        <w:t xml:space="preserve">other forms of physical </w:t>
      </w:r>
      <w:r>
        <w:rPr>
          <w:rFonts w:asciiTheme="majorBidi" w:eastAsia="Times New Roman" w:hAnsiTheme="majorBidi" w:cs="Times New Roman"/>
        </w:rPr>
        <w:t xml:space="preserve">exercise on the day </w:t>
      </w:r>
      <w:r w:rsidRPr="00921344">
        <w:rPr>
          <w:rFonts w:asciiTheme="majorBidi" w:eastAsia="Times New Roman" w:hAnsiTheme="majorBidi" w:cs="Times New Roman"/>
        </w:rPr>
        <w:t>of assessment.</w:t>
      </w:r>
    </w:p>
    <w:p w:rsidR="00CB3C5D" w:rsidRDefault="00CB3C5D" w:rsidP="008E1E9B">
      <w:pPr>
        <w:spacing w:after="0" w:line="240" w:lineRule="auto"/>
        <w:jc w:val="both"/>
        <w:rPr>
          <w:rFonts w:asciiTheme="majorBidi" w:hAnsiTheme="majorBidi" w:cstheme="majorBidi"/>
          <w:b/>
          <w:bCs/>
        </w:rPr>
      </w:pPr>
    </w:p>
    <w:p w:rsidR="00CB3C5D" w:rsidRDefault="00CB3C5D" w:rsidP="008E1E9B">
      <w:pPr>
        <w:spacing w:after="0" w:line="240" w:lineRule="auto"/>
        <w:jc w:val="both"/>
        <w:rPr>
          <w:rFonts w:asciiTheme="majorBidi" w:hAnsiTheme="majorBidi" w:cstheme="majorBidi"/>
          <w:b/>
          <w:bCs/>
        </w:rPr>
      </w:pPr>
    </w:p>
    <w:p w:rsidR="008E1E9B" w:rsidRDefault="008E1E9B" w:rsidP="008E1E9B">
      <w:pPr>
        <w:spacing w:after="0" w:line="240" w:lineRule="auto"/>
        <w:jc w:val="both"/>
        <w:rPr>
          <w:rFonts w:asciiTheme="majorBidi" w:hAnsiTheme="majorBidi" w:cstheme="majorBidi"/>
        </w:rPr>
      </w:pPr>
      <w:r>
        <w:rPr>
          <w:rFonts w:asciiTheme="majorBidi" w:hAnsiTheme="majorBidi" w:cstheme="majorBidi"/>
          <w:b/>
          <w:bCs/>
        </w:rPr>
        <w:lastRenderedPageBreak/>
        <w:t>A</w:t>
      </w:r>
      <w:r w:rsidRPr="003E24E9">
        <w:rPr>
          <w:rFonts w:asciiTheme="majorBidi" w:hAnsiTheme="majorBidi" w:cstheme="majorBidi"/>
          <w:b/>
          <w:bCs/>
        </w:rPr>
        <w:t>nalysis</w:t>
      </w:r>
    </w:p>
    <w:p w:rsidR="008E1E9B" w:rsidRDefault="008E1E9B" w:rsidP="008E1E9B">
      <w:pPr>
        <w:spacing w:after="0" w:line="240" w:lineRule="auto"/>
        <w:jc w:val="both"/>
        <w:rPr>
          <w:rFonts w:asciiTheme="majorBidi" w:hAnsiTheme="majorBidi" w:cstheme="majorBidi"/>
        </w:rPr>
      </w:pPr>
      <w:r w:rsidRPr="003E24E9">
        <w:rPr>
          <w:rFonts w:asciiTheme="majorBidi" w:hAnsiTheme="majorBidi" w:cstheme="majorBidi"/>
        </w:rPr>
        <w:t>Measures of C</w:t>
      </w:r>
      <w:r>
        <w:rPr>
          <w:rFonts w:asciiTheme="majorBidi" w:hAnsiTheme="majorBidi" w:cstheme="majorBidi"/>
        </w:rPr>
        <w:t>PM effect (% change PPT) and MIPM</w:t>
      </w:r>
      <w:r w:rsidRPr="003E24E9">
        <w:rPr>
          <w:rFonts w:asciiTheme="majorBidi" w:hAnsiTheme="majorBidi" w:cstheme="majorBidi"/>
        </w:rPr>
        <w:t xml:space="preserve"> effect (% change PPT) will be obtained for the wrist and elbow sites. </w:t>
      </w:r>
      <w:r>
        <w:rPr>
          <w:rFonts w:asciiTheme="majorBidi" w:hAnsiTheme="majorBidi" w:cstheme="majorBidi"/>
        </w:rPr>
        <w:t>Null h</w:t>
      </w:r>
      <w:r w:rsidRPr="003E24E9">
        <w:rPr>
          <w:rFonts w:asciiTheme="majorBidi" w:hAnsiTheme="majorBidi" w:cstheme="majorBidi"/>
        </w:rPr>
        <w:t xml:space="preserve">ypothesis </w:t>
      </w:r>
      <w:r w:rsidRPr="003F05A5">
        <w:rPr>
          <w:rFonts w:asciiTheme="majorBidi" w:hAnsiTheme="majorBidi" w:cstheme="majorBidi"/>
          <w:bCs/>
        </w:rPr>
        <w:t>1</w:t>
      </w:r>
      <w:r w:rsidRPr="003E24E9">
        <w:rPr>
          <w:rFonts w:asciiTheme="majorBidi" w:hAnsiTheme="majorBidi" w:cstheme="majorBidi"/>
        </w:rPr>
        <w:t xml:space="preserve"> </w:t>
      </w:r>
      <w:r>
        <w:rPr>
          <w:rFonts w:asciiTheme="majorBidi" w:hAnsiTheme="majorBidi" w:cstheme="majorBidi"/>
        </w:rPr>
        <w:t xml:space="preserve">(i.e. no </w:t>
      </w:r>
      <w:r w:rsidRPr="003E24E9">
        <w:rPr>
          <w:rFonts w:asciiTheme="majorBidi" w:hAnsiTheme="majorBidi" w:cstheme="majorBidi"/>
        </w:rPr>
        <w:t xml:space="preserve">correlation between </w:t>
      </w:r>
      <w:r>
        <w:rPr>
          <w:rFonts w:asciiTheme="majorBidi" w:hAnsiTheme="majorBidi" w:cstheme="majorBidi"/>
        </w:rPr>
        <w:t xml:space="preserve">MIPM and CPM analgesic effects) </w:t>
      </w:r>
      <w:r w:rsidRPr="003E24E9">
        <w:rPr>
          <w:rFonts w:asciiTheme="majorBidi" w:hAnsiTheme="majorBidi" w:cstheme="majorBidi"/>
        </w:rPr>
        <w:t>will be tested using a Pearson</w:t>
      </w:r>
      <w:r>
        <w:rPr>
          <w:rFonts w:asciiTheme="majorBidi" w:hAnsiTheme="majorBidi" w:cstheme="majorBidi"/>
        </w:rPr>
        <w:t>’s</w:t>
      </w:r>
      <w:r w:rsidRPr="003E24E9">
        <w:rPr>
          <w:rFonts w:asciiTheme="majorBidi" w:hAnsiTheme="majorBidi" w:cstheme="majorBidi"/>
        </w:rPr>
        <w:t xml:space="preserve"> correlation</w:t>
      </w:r>
      <w:r>
        <w:rPr>
          <w:rFonts w:asciiTheme="majorBidi" w:hAnsiTheme="majorBidi" w:cstheme="majorBidi"/>
        </w:rPr>
        <w:t xml:space="preserve"> test </w:t>
      </w:r>
      <w:r w:rsidRPr="003E24E9">
        <w:rPr>
          <w:rFonts w:asciiTheme="majorBidi" w:hAnsiTheme="majorBidi" w:cstheme="majorBidi"/>
        </w:rPr>
        <w:t xml:space="preserve">to evaluate the </w:t>
      </w:r>
      <w:r>
        <w:rPr>
          <w:rFonts w:asciiTheme="majorBidi" w:hAnsiTheme="majorBidi" w:cstheme="majorBidi"/>
        </w:rPr>
        <w:t>association</w:t>
      </w:r>
      <w:r w:rsidRPr="003E24E9">
        <w:rPr>
          <w:rFonts w:asciiTheme="majorBidi" w:hAnsiTheme="majorBidi" w:cstheme="majorBidi"/>
        </w:rPr>
        <w:t xml:space="preserve"> between </w:t>
      </w:r>
      <w:r>
        <w:rPr>
          <w:rFonts w:asciiTheme="majorBidi" w:hAnsiTheme="majorBidi" w:cstheme="majorBidi"/>
        </w:rPr>
        <w:t xml:space="preserve">change in PPT </w:t>
      </w:r>
      <w:r w:rsidRPr="003E24E9">
        <w:rPr>
          <w:rFonts w:asciiTheme="majorBidi" w:hAnsiTheme="majorBidi" w:cstheme="majorBidi"/>
        </w:rPr>
        <w:t>at both test sites</w:t>
      </w:r>
      <w:r>
        <w:rPr>
          <w:rFonts w:asciiTheme="majorBidi" w:hAnsiTheme="majorBidi" w:cstheme="majorBidi"/>
        </w:rPr>
        <w:t xml:space="preserve"> during CPM and MIPM</w:t>
      </w:r>
      <w:r w:rsidRPr="003E24E9">
        <w:rPr>
          <w:rFonts w:asciiTheme="majorBidi" w:hAnsiTheme="majorBidi" w:cstheme="majorBidi"/>
        </w:rPr>
        <w:t xml:space="preserve"> </w:t>
      </w:r>
      <w:r>
        <w:rPr>
          <w:rFonts w:asciiTheme="majorBidi" w:hAnsiTheme="majorBidi" w:cstheme="majorBidi"/>
        </w:rPr>
        <w:t>assessment protocols</w:t>
      </w:r>
      <w:r w:rsidRPr="003E24E9">
        <w:rPr>
          <w:rFonts w:asciiTheme="majorBidi" w:hAnsiTheme="majorBidi" w:cstheme="majorBidi"/>
        </w:rPr>
        <w:t xml:space="preserve">. </w:t>
      </w:r>
    </w:p>
    <w:p w:rsidR="008E1E9B" w:rsidRPr="00AD01F6" w:rsidRDefault="008E1E9B" w:rsidP="008E1E9B">
      <w:pPr>
        <w:spacing w:after="0" w:line="240" w:lineRule="auto"/>
        <w:jc w:val="both"/>
        <w:rPr>
          <w:rFonts w:asciiTheme="majorBidi" w:hAnsiTheme="majorBidi" w:cstheme="majorBidi"/>
        </w:rPr>
      </w:pPr>
    </w:p>
    <w:p w:rsidR="008E1E9B" w:rsidRDefault="008E1E9B" w:rsidP="008E1E9B">
      <w:pPr>
        <w:spacing w:after="0" w:line="240" w:lineRule="auto"/>
        <w:jc w:val="both"/>
        <w:rPr>
          <w:rFonts w:asciiTheme="majorBidi" w:hAnsiTheme="majorBidi" w:cstheme="majorBidi"/>
        </w:rPr>
      </w:pPr>
      <w:r>
        <w:rPr>
          <w:rFonts w:asciiTheme="majorBidi" w:hAnsiTheme="majorBidi" w:cstheme="majorBidi"/>
          <w:iCs/>
        </w:rPr>
        <w:t>To</w:t>
      </w:r>
      <w:r w:rsidRPr="003E24E9">
        <w:rPr>
          <w:rFonts w:asciiTheme="majorBidi" w:hAnsiTheme="majorBidi" w:cstheme="majorBidi"/>
          <w:iCs/>
        </w:rPr>
        <w:t xml:space="preserve"> test </w:t>
      </w:r>
      <w:r>
        <w:rPr>
          <w:rFonts w:asciiTheme="majorBidi" w:hAnsiTheme="majorBidi" w:cstheme="majorBidi"/>
          <w:iCs/>
        </w:rPr>
        <w:t xml:space="preserve">null </w:t>
      </w:r>
      <w:r w:rsidRPr="003E24E9">
        <w:rPr>
          <w:rFonts w:asciiTheme="majorBidi" w:hAnsiTheme="majorBidi" w:cstheme="majorBidi"/>
          <w:iCs/>
        </w:rPr>
        <w:t>hypothesis</w:t>
      </w:r>
      <w:r w:rsidRPr="00881C95">
        <w:rPr>
          <w:rFonts w:asciiTheme="majorBidi" w:hAnsiTheme="majorBidi" w:cstheme="majorBidi"/>
          <w:b/>
          <w:bCs/>
          <w:iCs/>
        </w:rPr>
        <w:t xml:space="preserve"> </w:t>
      </w:r>
      <w:r w:rsidRPr="003F05A5">
        <w:rPr>
          <w:rFonts w:asciiTheme="majorBidi" w:hAnsiTheme="majorBidi" w:cstheme="majorBidi"/>
          <w:bCs/>
          <w:iCs/>
        </w:rPr>
        <w:t>2</w:t>
      </w:r>
      <w:r w:rsidRPr="003E24E9">
        <w:rPr>
          <w:rFonts w:asciiTheme="majorBidi" w:hAnsiTheme="majorBidi" w:cstheme="majorBidi"/>
          <w:i/>
          <w:iCs/>
        </w:rPr>
        <w:t xml:space="preserve"> </w:t>
      </w:r>
      <w:r w:rsidRPr="003E24E9">
        <w:rPr>
          <w:rFonts w:asciiTheme="majorBidi" w:hAnsiTheme="majorBidi" w:cstheme="majorBidi"/>
        </w:rPr>
        <w:t>subjects will be assigned post hoc into two groups</w:t>
      </w:r>
      <w:r>
        <w:rPr>
          <w:rFonts w:asciiTheme="majorBidi" w:hAnsiTheme="majorBidi" w:cstheme="majorBidi"/>
        </w:rPr>
        <w:t>,</w:t>
      </w:r>
      <w:r w:rsidRPr="003E24E9">
        <w:rPr>
          <w:rFonts w:asciiTheme="majorBidi" w:hAnsiTheme="majorBidi" w:cstheme="majorBidi"/>
        </w:rPr>
        <w:t xml:space="preserve"> based on whether </w:t>
      </w:r>
      <w:r>
        <w:rPr>
          <w:rFonts w:asciiTheme="majorBidi" w:hAnsiTheme="majorBidi" w:cstheme="majorBidi"/>
        </w:rPr>
        <w:t xml:space="preserve">or not </w:t>
      </w:r>
      <w:r w:rsidRPr="003E24E9">
        <w:rPr>
          <w:rFonts w:asciiTheme="majorBidi" w:hAnsiTheme="majorBidi" w:cstheme="majorBidi"/>
        </w:rPr>
        <w:t>they demonstrate a meaningful CPM effect at the wrist test site</w:t>
      </w:r>
      <w:r>
        <w:rPr>
          <w:rFonts w:asciiTheme="majorBidi" w:hAnsiTheme="majorBidi" w:cstheme="majorBidi"/>
        </w:rPr>
        <w:t xml:space="preserve">. The assessment of </w:t>
      </w:r>
      <w:r w:rsidRPr="003E24E9">
        <w:rPr>
          <w:rFonts w:asciiTheme="majorBidi" w:hAnsiTheme="majorBidi" w:cstheme="majorBidi"/>
        </w:rPr>
        <w:t xml:space="preserve">meaningful CPM effect will be determined based on the criteria described by Locke et al. (2014). CPM effect will be considered meaningful if the percentage increase in </w:t>
      </w:r>
      <w:r>
        <w:rPr>
          <w:rFonts w:asciiTheme="majorBidi" w:hAnsiTheme="majorBidi" w:cstheme="majorBidi"/>
        </w:rPr>
        <w:t xml:space="preserve">wrist </w:t>
      </w:r>
      <w:r w:rsidRPr="003E24E9">
        <w:rPr>
          <w:rFonts w:asciiTheme="majorBidi" w:hAnsiTheme="majorBidi" w:cstheme="majorBidi"/>
        </w:rPr>
        <w:t>P</w:t>
      </w:r>
      <w:r>
        <w:rPr>
          <w:rFonts w:asciiTheme="majorBidi" w:hAnsiTheme="majorBidi" w:cstheme="majorBidi"/>
        </w:rPr>
        <w:t>P</w:t>
      </w:r>
      <w:r w:rsidRPr="003E24E9">
        <w:rPr>
          <w:rFonts w:asciiTheme="majorBidi" w:hAnsiTheme="majorBidi" w:cstheme="majorBidi"/>
        </w:rPr>
        <w:t>T from baseline is greater than the standard error of measurement (SEM)</w:t>
      </w:r>
      <w:r>
        <w:rPr>
          <w:rFonts w:asciiTheme="majorBidi" w:hAnsiTheme="majorBidi" w:cstheme="majorBidi"/>
        </w:rPr>
        <w:t xml:space="preserve"> for repeated PPT measures.</w:t>
      </w:r>
      <w:r w:rsidRPr="003E24E9">
        <w:rPr>
          <w:rFonts w:asciiTheme="majorBidi" w:hAnsiTheme="majorBidi" w:cstheme="majorBidi"/>
        </w:rPr>
        <w:t xml:space="preserve"> To compute the SEM, a pilot study </w:t>
      </w:r>
      <w:r>
        <w:rPr>
          <w:rFonts w:asciiTheme="majorBidi" w:hAnsiTheme="majorBidi" w:cstheme="majorBidi"/>
        </w:rPr>
        <w:t>(</w:t>
      </w:r>
      <w:r w:rsidRPr="00B46838">
        <w:rPr>
          <w:rFonts w:asciiTheme="majorBidi" w:hAnsiTheme="majorBidi" w:cstheme="majorBidi"/>
        </w:rPr>
        <w:t>HRE2016-0181)</w:t>
      </w:r>
      <w:r>
        <w:rPr>
          <w:rFonts w:asciiTheme="majorBidi" w:hAnsiTheme="majorBidi" w:cstheme="majorBidi"/>
        </w:rPr>
        <w:t xml:space="preserve"> </w:t>
      </w:r>
      <w:r w:rsidRPr="003E24E9">
        <w:rPr>
          <w:rFonts w:asciiTheme="majorBidi" w:hAnsiTheme="majorBidi" w:cstheme="majorBidi"/>
        </w:rPr>
        <w:t>of 10 participants will be conducted following the same PPT test</w:t>
      </w:r>
      <w:r>
        <w:rPr>
          <w:rFonts w:asciiTheme="majorBidi" w:hAnsiTheme="majorBidi" w:cstheme="majorBidi"/>
        </w:rPr>
        <w:t>-</w:t>
      </w:r>
      <w:r w:rsidRPr="003E24E9">
        <w:rPr>
          <w:rFonts w:asciiTheme="majorBidi" w:hAnsiTheme="majorBidi" w:cstheme="majorBidi"/>
        </w:rPr>
        <w:t xml:space="preserve">retest protocol </w:t>
      </w:r>
      <w:r>
        <w:rPr>
          <w:rFonts w:asciiTheme="majorBidi" w:hAnsiTheme="majorBidi" w:cstheme="majorBidi"/>
        </w:rPr>
        <w:t xml:space="preserve">(baseline, at 1 minute and at 2 mins) </w:t>
      </w:r>
      <w:r w:rsidRPr="003E24E9">
        <w:rPr>
          <w:rFonts w:asciiTheme="majorBidi" w:hAnsiTheme="majorBidi" w:cstheme="majorBidi"/>
        </w:rPr>
        <w:t>but without applying CPT. The SEM will then be calculated for each time point using the formula SD x √(1-ICC), where ICC represents the interclass correlation coefficient of the mean value for each time point. The SEM value will then be added to the P</w:t>
      </w:r>
      <w:r>
        <w:rPr>
          <w:rFonts w:asciiTheme="majorBidi" w:hAnsiTheme="majorBidi" w:cstheme="majorBidi"/>
        </w:rPr>
        <w:t>P</w:t>
      </w:r>
      <w:r w:rsidRPr="003E24E9">
        <w:rPr>
          <w:rFonts w:asciiTheme="majorBidi" w:hAnsiTheme="majorBidi" w:cstheme="majorBidi"/>
        </w:rPr>
        <w:t>T mean value to indicate the maximum upper value of normal variation in repeated PPT measures</w:t>
      </w:r>
      <w:r>
        <w:rPr>
          <w:rFonts w:asciiTheme="majorBidi" w:hAnsiTheme="majorBidi" w:cstheme="majorBidi"/>
        </w:rPr>
        <w:t xml:space="preserve"> (Lock et al. 2014)</w:t>
      </w:r>
      <w:r w:rsidRPr="003E24E9">
        <w:rPr>
          <w:rFonts w:asciiTheme="majorBidi" w:hAnsiTheme="majorBidi" w:cstheme="majorBidi"/>
        </w:rPr>
        <w:t xml:space="preserve">. This value will then be represented as </w:t>
      </w:r>
      <w:r>
        <w:rPr>
          <w:rFonts w:asciiTheme="majorBidi" w:hAnsiTheme="majorBidi" w:cstheme="majorBidi"/>
        </w:rPr>
        <w:t xml:space="preserve">a </w:t>
      </w:r>
      <w:r w:rsidRPr="003E24E9">
        <w:rPr>
          <w:rFonts w:asciiTheme="majorBidi" w:hAnsiTheme="majorBidi" w:cstheme="majorBidi"/>
        </w:rPr>
        <w:t xml:space="preserve">percentage </w:t>
      </w:r>
      <w:r>
        <w:rPr>
          <w:rFonts w:asciiTheme="majorBidi" w:hAnsiTheme="majorBidi" w:cstheme="majorBidi"/>
        </w:rPr>
        <w:t xml:space="preserve">change </w:t>
      </w:r>
      <w:r w:rsidRPr="003E24E9">
        <w:rPr>
          <w:rFonts w:asciiTheme="majorBidi" w:hAnsiTheme="majorBidi" w:cstheme="majorBidi"/>
        </w:rPr>
        <w:t xml:space="preserve">value. Therefore, any PPT percentage value above this percentage </w:t>
      </w:r>
      <w:r>
        <w:rPr>
          <w:rFonts w:asciiTheme="majorBidi" w:hAnsiTheme="majorBidi" w:cstheme="majorBidi"/>
        </w:rPr>
        <w:t xml:space="preserve">change </w:t>
      </w:r>
      <w:r w:rsidRPr="003E24E9">
        <w:rPr>
          <w:rFonts w:asciiTheme="majorBidi" w:hAnsiTheme="majorBidi" w:cstheme="majorBidi"/>
        </w:rPr>
        <w:t>value will indicate a meaningful CPM effect</w:t>
      </w:r>
      <w:r>
        <w:rPr>
          <w:rFonts w:asciiTheme="majorBidi" w:hAnsiTheme="majorBidi" w:cstheme="majorBidi"/>
        </w:rPr>
        <w:t>, greater than the normal measurement error</w:t>
      </w:r>
      <w:r w:rsidRPr="003E24E9">
        <w:rPr>
          <w:rFonts w:asciiTheme="majorBidi" w:hAnsiTheme="majorBidi" w:cstheme="majorBidi"/>
        </w:rPr>
        <w:t xml:space="preserve">. Subjects with a CPM effect above this percentage will be classified as CPM responders and those with a CPM effect below this percentage will be classified as CPM non-responders. In the study by Locke </w:t>
      </w:r>
      <w:r>
        <w:rPr>
          <w:rFonts w:asciiTheme="majorBidi" w:hAnsiTheme="majorBidi" w:cstheme="majorBidi"/>
        </w:rPr>
        <w:t>et al (2014) the meaningful CPM cut-off value was 5.3%, with approximately 10</w:t>
      </w:r>
      <w:r w:rsidRPr="003E24E9">
        <w:rPr>
          <w:rFonts w:asciiTheme="majorBidi" w:hAnsiTheme="majorBidi" w:cstheme="majorBidi"/>
        </w:rPr>
        <w:t xml:space="preserve">% of subjects </w:t>
      </w:r>
      <w:r>
        <w:rPr>
          <w:rFonts w:asciiTheme="majorBidi" w:hAnsiTheme="majorBidi" w:cstheme="majorBidi"/>
        </w:rPr>
        <w:t>found to be</w:t>
      </w:r>
      <w:r w:rsidRPr="003E24E9">
        <w:rPr>
          <w:rFonts w:asciiTheme="majorBidi" w:hAnsiTheme="majorBidi" w:cstheme="majorBidi"/>
        </w:rPr>
        <w:t xml:space="preserve"> non-responders.</w:t>
      </w:r>
      <w:r w:rsidRPr="002D3B53">
        <w:rPr>
          <w:rFonts w:asciiTheme="majorBidi" w:hAnsiTheme="majorBidi" w:cstheme="majorBidi"/>
        </w:rPr>
        <w:t xml:space="preserve"> </w:t>
      </w:r>
      <w:r>
        <w:rPr>
          <w:rFonts w:asciiTheme="majorBidi" w:hAnsiTheme="majorBidi" w:cstheme="majorBidi"/>
        </w:rPr>
        <w:t>It is anticipated that in this patient population this percentage of non-responders will be higher.</w:t>
      </w:r>
    </w:p>
    <w:p w:rsidR="008E1E9B" w:rsidRPr="00AD01F6" w:rsidRDefault="008E1E9B" w:rsidP="008E1E9B">
      <w:pPr>
        <w:spacing w:after="0" w:line="240" w:lineRule="auto"/>
        <w:jc w:val="both"/>
        <w:rPr>
          <w:rFonts w:asciiTheme="majorBidi" w:hAnsiTheme="majorBidi" w:cstheme="majorBidi"/>
        </w:rPr>
      </w:pPr>
    </w:p>
    <w:p w:rsidR="008E1E9B" w:rsidRDefault="008E1E9B" w:rsidP="008E1E9B">
      <w:pPr>
        <w:spacing w:after="0" w:line="240" w:lineRule="auto"/>
        <w:jc w:val="both"/>
        <w:rPr>
          <w:rFonts w:asciiTheme="majorBidi" w:hAnsiTheme="majorBidi" w:cstheme="majorBidi"/>
        </w:rPr>
      </w:pPr>
      <w:r>
        <w:rPr>
          <w:rFonts w:asciiTheme="majorBidi" w:hAnsiTheme="majorBidi" w:cstheme="majorBidi"/>
        </w:rPr>
        <w:t xml:space="preserve">Once CPM effect groups have been determined, differences between the two groups for MIPM measures will be analysed. Percentage change in </w:t>
      </w:r>
      <w:r w:rsidRPr="003E24E9">
        <w:rPr>
          <w:rFonts w:asciiTheme="majorBidi" w:hAnsiTheme="majorBidi" w:cstheme="majorBidi"/>
        </w:rPr>
        <w:t>P</w:t>
      </w:r>
      <w:r>
        <w:rPr>
          <w:rFonts w:asciiTheme="majorBidi" w:hAnsiTheme="majorBidi" w:cstheme="majorBidi"/>
        </w:rPr>
        <w:t>P</w:t>
      </w:r>
      <w:r w:rsidRPr="003E24E9">
        <w:rPr>
          <w:rFonts w:asciiTheme="majorBidi" w:hAnsiTheme="majorBidi" w:cstheme="majorBidi"/>
        </w:rPr>
        <w:t xml:space="preserve">T </w:t>
      </w:r>
      <w:r>
        <w:rPr>
          <w:rFonts w:asciiTheme="majorBidi" w:hAnsiTheme="majorBidi" w:cstheme="majorBidi"/>
        </w:rPr>
        <w:t xml:space="preserve">at the elbow, </w:t>
      </w:r>
      <w:r w:rsidRPr="003E24E9">
        <w:rPr>
          <w:rFonts w:asciiTheme="majorBidi" w:hAnsiTheme="majorBidi" w:cstheme="majorBidi"/>
        </w:rPr>
        <w:t>PFG, and ULNDT (shoulder abduction),</w:t>
      </w:r>
      <w:r>
        <w:rPr>
          <w:rFonts w:asciiTheme="majorBidi" w:hAnsiTheme="majorBidi" w:cstheme="majorBidi"/>
        </w:rPr>
        <w:t xml:space="preserve"> will be used to compare the MIPM</w:t>
      </w:r>
      <w:r w:rsidRPr="003E24E9">
        <w:rPr>
          <w:rFonts w:asciiTheme="majorBidi" w:hAnsiTheme="majorBidi" w:cstheme="majorBidi"/>
        </w:rPr>
        <w:t xml:space="preserve"> effect between the CPM groups (i.e. CPM responder and CPM non-responder)</w:t>
      </w:r>
      <w:r>
        <w:rPr>
          <w:rFonts w:asciiTheme="majorBidi" w:hAnsiTheme="majorBidi" w:cstheme="majorBidi"/>
        </w:rPr>
        <w:t xml:space="preserve"> using</w:t>
      </w:r>
      <w:r w:rsidRPr="003E24E9">
        <w:rPr>
          <w:rFonts w:asciiTheme="majorBidi" w:hAnsiTheme="majorBidi" w:cstheme="majorBidi"/>
        </w:rPr>
        <w:t xml:space="preserve"> </w:t>
      </w:r>
      <w:r>
        <w:rPr>
          <w:rFonts w:asciiTheme="majorBidi" w:hAnsiTheme="majorBidi" w:cstheme="majorBidi"/>
        </w:rPr>
        <w:t>independent</w:t>
      </w:r>
      <w:r w:rsidRPr="003E24E9">
        <w:rPr>
          <w:rFonts w:asciiTheme="majorBidi" w:hAnsiTheme="majorBidi" w:cstheme="majorBidi"/>
        </w:rPr>
        <w:t xml:space="preserve"> t-tests</w:t>
      </w:r>
      <w:r>
        <w:rPr>
          <w:rFonts w:asciiTheme="majorBidi" w:hAnsiTheme="majorBidi" w:cstheme="majorBidi"/>
        </w:rPr>
        <w:t>.</w:t>
      </w:r>
    </w:p>
    <w:p w:rsidR="008E1E9B" w:rsidRDefault="008E1E9B" w:rsidP="008E1E9B">
      <w:pPr>
        <w:spacing w:after="0" w:line="240" w:lineRule="auto"/>
      </w:pPr>
    </w:p>
    <w:p w:rsidR="008E1E9B" w:rsidRDefault="008E1E9B" w:rsidP="008E1E9B">
      <w:pPr>
        <w:spacing w:after="0" w:line="240" w:lineRule="auto"/>
      </w:pPr>
    </w:p>
    <w:p w:rsidR="008E1E9B" w:rsidRDefault="008E1E9B" w:rsidP="008E1E9B">
      <w:pPr>
        <w:spacing w:after="0" w:line="240" w:lineRule="auto"/>
      </w:pPr>
    </w:p>
    <w:p w:rsidR="008E1E9B" w:rsidRDefault="008E1E9B" w:rsidP="008E1E9B">
      <w:pPr>
        <w:spacing w:after="0" w:line="240" w:lineRule="auto"/>
      </w:pPr>
    </w:p>
    <w:p w:rsidR="008E1E9B" w:rsidRDefault="008E1E9B" w:rsidP="008E1E9B">
      <w:pPr>
        <w:spacing w:after="0" w:line="240" w:lineRule="auto"/>
      </w:pPr>
    </w:p>
    <w:p w:rsidR="008E1E9B" w:rsidRDefault="008E1E9B" w:rsidP="008E1E9B">
      <w:pPr>
        <w:spacing w:after="0" w:line="240" w:lineRule="auto"/>
      </w:pPr>
    </w:p>
    <w:p w:rsidR="008E1E9B" w:rsidRDefault="008E1E9B" w:rsidP="008E1E9B">
      <w:pPr>
        <w:spacing w:after="0" w:line="240" w:lineRule="auto"/>
      </w:pPr>
    </w:p>
    <w:p w:rsidR="008E1E9B" w:rsidRDefault="008E1E9B" w:rsidP="008E1E9B">
      <w:pPr>
        <w:spacing w:after="0" w:line="240" w:lineRule="auto"/>
      </w:pPr>
    </w:p>
    <w:p w:rsidR="008E1E9B" w:rsidRDefault="008E1E9B" w:rsidP="008E1E9B">
      <w:pPr>
        <w:spacing w:after="0" w:line="240" w:lineRule="auto"/>
      </w:pPr>
    </w:p>
    <w:p w:rsidR="008E1E9B" w:rsidRDefault="008E1E9B" w:rsidP="008E1E9B">
      <w:pPr>
        <w:spacing w:after="0" w:line="240" w:lineRule="auto"/>
      </w:pPr>
    </w:p>
    <w:p w:rsidR="008E1E9B" w:rsidRDefault="008E1E9B" w:rsidP="008E1E9B">
      <w:pPr>
        <w:spacing w:after="0" w:line="240" w:lineRule="auto"/>
      </w:pPr>
    </w:p>
    <w:p w:rsidR="008E1E9B" w:rsidRDefault="008E1E9B" w:rsidP="008E1E9B">
      <w:pPr>
        <w:spacing w:after="0" w:line="240" w:lineRule="auto"/>
      </w:pPr>
    </w:p>
    <w:p w:rsidR="008E1E9B" w:rsidRDefault="008E1E9B" w:rsidP="008E1E9B">
      <w:pPr>
        <w:spacing w:after="0" w:line="240" w:lineRule="auto"/>
      </w:pPr>
    </w:p>
    <w:p w:rsidR="008E1E9B" w:rsidRDefault="008E1E9B" w:rsidP="008E1E9B">
      <w:pPr>
        <w:spacing w:after="0" w:line="240" w:lineRule="auto"/>
      </w:pPr>
    </w:p>
    <w:p w:rsidR="008E1E9B" w:rsidRDefault="008E1E9B" w:rsidP="008E1E9B">
      <w:pPr>
        <w:spacing w:after="0" w:line="240" w:lineRule="auto"/>
      </w:pPr>
    </w:p>
    <w:p w:rsidR="008E1E9B" w:rsidRDefault="008E1E9B" w:rsidP="008E1E9B">
      <w:pPr>
        <w:spacing w:after="0" w:line="240" w:lineRule="auto"/>
      </w:pPr>
    </w:p>
    <w:p w:rsidR="008E1E9B" w:rsidRDefault="008E1E9B" w:rsidP="008E1E9B">
      <w:pPr>
        <w:spacing w:after="0" w:line="240" w:lineRule="auto"/>
      </w:pPr>
    </w:p>
    <w:p w:rsidR="008E1E9B" w:rsidRDefault="008E1E9B" w:rsidP="008E1E9B">
      <w:pPr>
        <w:spacing w:after="0" w:line="240" w:lineRule="auto"/>
      </w:pPr>
    </w:p>
    <w:p w:rsidR="008E1E9B" w:rsidRDefault="008E1E9B" w:rsidP="008E1E9B">
      <w:pPr>
        <w:spacing w:after="0" w:line="240" w:lineRule="auto"/>
      </w:pPr>
    </w:p>
    <w:p w:rsidR="008E1E9B" w:rsidRDefault="008E1E9B" w:rsidP="008E1E9B">
      <w:pPr>
        <w:spacing w:after="0" w:line="240" w:lineRule="auto"/>
      </w:pPr>
    </w:p>
    <w:p w:rsidR="008E1E9B" w:rsidRDefault="008E1E9B" w:rsidP="008E1E9B">
      <w:pPr>
        <w:spacing w:after="0" w:line="240" w:lineRule="auto"/>
      </w:pPr>
    </w:p>
    <w:p w:rsidR="008E1E9B" w:rsidRDefault="008E1E9B" w:rsidP="008E1E9B">
      <w:pPr>
        <w:spacing w:after="0" w:line="240" w:lineRule="auto"/>
      </w:pPr>
    </w:p>
    <w:p w:rsidR="008E1E9B" w:rsidRDefault="008E1E9B" w:rsidP="008E1E9B">
      <w:pPr>
        <w:spacing w:after="0" w:line="240" w:lineRule="auto"/>
      </w:pPr>
    </w:p>
    <w:p w:rsidR="008E1E9B" w:rsidRDefault="008E1E9B" w:rsidP="008E1E9B">
      <w:pPr>
        <w:spacing w:after="0" w:line="240" w:lineRule="auto"/>
      </w:pPr>
    </w:p>
    <w:p w:rsidR="008E1E9B" w:rsidRDefault="008E1E9B" w:rsidP="008E1E9B">
      <w:pPr>
        <w:spacing w:after="0" w:line="240" w:lineRule="auto"/>
      </w:pPr>
    </w:p>
    <w:p w:rsidR="008E1E9B" w:rsidRDefault="008E1E9B" w:rsidP="008E1E9B">
      <w:pPr>
        <w:spacing w:after="0" w:line="240" w:lineRule="auto"/>
      </w:pPr>
    </w:p>
    <w:p w:rsidR="008E1E9B" w:rsidRPr="00562F71" w:rsidRDefault="008E1E9B" w:rsidP="008E1E9B">
      <w:pPr>
        <w:spacing w:after="0" w:line="240" w:lineRule="auto"/>
        <w:rPr>
          <w:rFonts w:asciiTheme="majorBidi" w:hAnsiTheme="majorBidi" w:cstheme="majorBidi"/>
          <w:b/>
          <w:bCs/>
        </w:rPr>
      </w:pPr>
      <w:r w:rsidRPr="00562F71">
        <w:rPr>
          <w:rFonts w:asciiTheme="majorBidi" w:hAnsiTheme="majorBidi" w:cstheme="majorBidi"/>
          <w:b/>
          <w:bCs/>
        </w:rPr>
        <w:lastRenderedPageBreak/>
        <w:t xml:space="preserve">References </w:t>
      </w:r>
    </w:p>
    <w:p w:rsidR="00BC17E2" w:rsidRPr="0038418F" w:rsidRDefault="00BC17E2" w:rsidP="00BC17E2">
      <w:pPr>
        <w:spacing w:after="0" w:line="240" w:lineRule="auto"/>
        <w:rPr>
          <w:rStyle w:val="citation"/>
          <w:rFonts w:asciiTheme="majorBidi" w:hAnsiTheme="majorBidi" w:cstheme="majorBidi"/>
        </w:rPr>
      </w:pPr>
    </w:p>
    <w:p w:rsidR="00BC17E2" w:rsidRPr="0038418F" w:rsidRDefault="00BC17E2" w:rsidP="00BC17E2">
      <w:pPr>
        <w:spacing w:after="0" w:line="240" w:lineRule="auto"/>
        <w:rPr>
          <w:rFonts w:asciiTheme="majorBidi" w:hAnsiTheme="majorBidi" w:cstheme="majorBidi"/>
          <w:lang w:val="en-AU"/>
        </w:rPr>
      </w:pPr>
      <w:r w:rsidRPr="0038418F">
        <w:rPr>
          <w:rFonts w:asciiTheme="majorBidi" w:hAnsiTheme="majorBidi" w:cstheme="majorBidi"/>
          <w:lang w:val="en-AU"/>
        </w:rPr>
        <w:t xml:space="preserve">Butler, DS 2000, </w:t>
      </w:r>
      <w:r w:rsidRPr="0038418F">
        <w:rPr>
          <w:rFonts w:asciiTheme="majorBidi" w:hAnsiTheme="majorBidi" w:cstheme="majorBidi"/>
          <w:i/>
          <w:iCs/>
          <w:lang w:val="en-AU"/>
        </w:rPr>
        <w:t>The sensitive nervous system</w:t>
      </w:r>
      <w:r w:rsidRPr="0038418F">
        <w:rPr>
          <w:rFonts w:asciiTheme="majorBidi" w:hAnsiTheme="majorBidi" w:cstheme="majorBidi"/>
          <w:lang w:val="en-AU"/>
        </w:rPr>
        <w:t xml:space="preserve">, Noigroup Publication, Adelaide, Australia. </w:t>
      </w:r>
    </w:p>
    <w:p w:rsidR="00BC17E2" w:rsidRPr="0038418F" w:rsidRDefault="00BC17E2" w:rsidP="00BC17E2">
      <w:pPr>
        <w:spacing w:after="0" w:line="240" w:lineRule="auto"/>
        <w:rPr>
          <w:rStyle w:val="citation"/>
          <w:rFonts w:asciiTheme="majorBidi" w:hAnsiTheme="majorBidi" w:cstheme="majorBidi"/>
        </w:rPr>
      </w:pPr>
    </w:p>
    <w:p w:rsidR="00BC17E2" w:rsidRPr="0038418F" w:rsidRDefault="00FE5557" w:rsidP="00BC17E2">
      <w:pPr>
        <w:shd w:val="clear" w:color="auto" w:fill="FFFFFF"/>
        <w:rPr>
          <w:rFonts w:asciiTheme="majorBidi" w:hAnsiTheme="majorBidi" w:cstheme="majorBidi"/>
        </w:rPr>
      </w:pPr>
      <w:hyperlink r:id="rId9" w:history="1">
        <w:r w:rsidR="00BC17E2" w:rsidRPr="0038418F">
          <w:rPr>
            <w:rFonts w:asciiTheme="majorBidi" w:hAnsiTheme="majorBidi" w:cstheme="majorBidi"/>
          </w:rPr>
          <w:t>Coombes, BK</w:t>
        </w:r>
      </w:hyperlink>
      <w:r w:rsidR="00BC17E2" w:rsidRPr="0038418F">
        <w:rPr>
          <w:rFonts w:asciiTheme="majorBidi" w:hAnsiTheme="majorBidi" w:cstheme="majorBidi"/>
        </w:rPr>
        <w:t xml:space="preserve">, </w:t>
      </w:r>
      <w:hyperlink r:id="rId10" w:history="1">
        <w:r w:rsidR="00BC17E2" w:rsidRPr="0038418F">
          <w:rPr>
            <w:rFonts w:asciiTheme="majorBidi" w:hAnsiTheme="majorBidi" w:cstheme="majorBidi"/>
          </w:rPr>
          <w:t>Bisset, L</w:t>
        </w:r>
      </w:hyperlink>
      <w:r w:rsidR="00BC17E2" w:rsidRPr="0038418F">
        <w:rPr>
          <w:rFonts w:asciiTheme="majorBidi" w:hAnsiTheme="majorBidi" w:cstheme="majorBidi"/>
        </w:rPr>
        <w:t xml:space="preserve"> &amp; </w:t>
      </w:r>
      <w:hyperlink r:id="rId11" w:history="1">
        <w:r w:rsidR="00BC17E2" w:rsidRPr="0038418F">
          <w:rPr>
            <w:rFonts w:asciiTheme="majorBidi" w:hAnsiTheme="majorBidi" w:cstheme="majorBidi"/>
          </w:rPr>
          <w:t>Vicenzino, B</w:t>
        </w:r>
      </w:hyperlink>
      <w:r w:rsidR="00BC17E2" w:rsidRPr="0038418F">
        <w:rPr>
          <w:rFonts w:asciiTheme="majorBidi" w:hAnsiTheme="majorBidi" w:cstheme="majorBidi"/>
        </w:rPr>
        <w:t xml:space="preserve"> 2015, ‘Cold hyperalgesia associated with poorer prognosis in lateral epicondylalgia: a 1-year prognostic study of physical and psychological factors’, </w:t>
      </w:r>
      <w:r w:rsidR="00BC17E2" w:rsidRPr="0038418F">
        <w:rPr>
          <w:rFonts w:asciiTheme="majorBidi" w:hAnsiTheme="majorBidi" w:cstheme="majorBidi"/>
          <w:i/>
          <w:iCs/>
        </w:rPr>
        <w:t>The Clinical Journal of Pain</w:t>
      </w:r>
      <w:r w:rsidR="00BC17E2" w:rsidRPr="0038418F">
        <w:rPr>
          <w:rFonts w:asciiTheme="majorBidi" w:hAnsiTheme="majorBidi" w:cstheme="majorBidi"/>
        </w:rPr>
        <w:t xml:space="preserve">, vol. 31, no. 1, pp. 30-35. </w:t>
      </w:r>
    </w:p>
    <w:p w:rsidR="00BC17E2" w:rsidRPr="0038418F" w:rsidRDefault="00BC17E2" w:rsidP="00BC17E2">
      <w:pPr>
        <w:spacing w:after="0"/>
        <w:rPr>
          <w:rFonts w:asciiTheme="majorBidi" w:hAnsiTheme="majorBidi" w:cstheme="majorBidi"/>
        </w:rPr>
      </w:pPr>
      <w:r w:rsidRPr="0038418F">
        <w:rPr>
          <w:rFonts w:asciiTheme="majorBidi" w:hAnsiTheme="majorBidi" w:cstheme="majorBidi"/>
        </w:rPr>
        <w:t xml:space="preserve">Fernández-Carnero, J, Fernández-de-las-Peñas, C, Sterling, M, Souvlis, T, Arendt-Nielsen, L &amp; Vicenzino, B 2009, ‘Exploration of the Extent of Somato-Sensory Impairment in Patients with Unilateral Lateral Epicondylalgia’, </w:t>
      </w:r>
      <w:r w:rsidRPr="0038418F">
        <w:rPr>
          <w:rFonts w:asciiTheme="majorBidi" w:hAnsiTheme="majorBidi" w:cstheme="majorBidi"/>
          <w:i/>
          <w:iCs/>
        </w:rPr>
        <w:t>The Journal of Pain</w:t>
      </w:r>
      <w:r w:rsidRPr="0038418F">
        <w:rPr>
          <w:rFonts w:asciiTheme="majorBidi" w:hAnsiTheme="majorBidi" w:cstheme="majorBidi"/>
        </w:rPr>
        <w:t xml:space="preserve">, vol. 10, no. 11, pp. 1179–1185. </w:t>
      </w:r>
    </w:p>
    <w:p w:rsidR="00BC17E2" w:rsidRPr="0038418F" w:rsidRDefault="00BC17E2" w:rsidP="00BC17E2">
      <w:pPr>
        <w:spacing w:after="0" w:line="240" w:lineRule="auto"/>
        <w:rPr>
          <w:rStyle w:val="citation"/>
          <w:rFonts w:asciiTheme="majorBidi" w:hAnsiTheme="majorBidi" w:cstheme="majorBidi"/>
        </w:rPr>
      </w:pPr>
    </w:p>
    <w:p w:rsidR="00BC17E2" w:rsidRDefault="00BC17E2" w:rsidP="00BC17E2">
      <w:pPr>
        <w:spacing w:after="0" w:line="240" w:lineRule="auto"/>
        <w:rPr>
          <w:rFonts w:asciiTheme="majorBidi" w:eastAsia="Times New Roman" w:hAnsiTheme="majorBidi" w:cstheme="majorBidi"/>
          <w:color w:val="0A0905"/>
        </w:rPr>
      </w:pPr>
      <w:r w:rsidRPr="0038418F">
        <w:rPr>
          <w:rFonts w:asciiTheme="majorBidi" w:eastAsia="Times New Roman" w:hAnsiTheme="majorBidi" w:cstheme="majorBidi"/>
          <w:color w:val="0A0905"/>
        </w:rPr>
        <w:t xml:space="preserve">Haker, E &amp; Lundeberg, T 1990, ‘Laser treatment applied to acupuncture points in lateral humeral epicondylalgia: a double-blind study’, </w:t>
      </w:r>
      <w:r w:rsidRPr="0038418F">
        <w:rPr>
          <w:rFonts w:asciiTheme="majorBidi" w:eastAsia="Times New Roman" w:hAnsiTheme="majorBidi" w:cstheme="majorBidi"/>
          <w:i/>
          <w:iCs/>
          <w:color w:val="0A0905"/>
        </w:rPr>
        <w:t>Pain,</w:t>
      </w:r>
      <w:r w:rsidRPr="0038418F">
        <w:rPr>
          <w:rFonts w:asciiTheme="majorBidi" w:eastAsia="Times New Roman" w:hAnsiTheme="majorBidi" w:cstheme="majorBidi"/>
          <w:color w:val="0A0905"/>
        </w:rPr>
        <w:t xml:space="preserve"> vol. 43, pp. 243-247.  </w:t>
      </w:r>
    </w:p>
    <w:p w:rsidR="00BC17E2" w:rsidRDefault="00BC17E2" w:rsidP="00BC17E2">
      <w:pPr>
        <w:spacing w:after="0" w:line="240" w:lineRule="auto"/>
        <w:rPr>
          <w:rFonts w:asciiTheme="majorBidi" w:eastAsia="Times New Roman" w:hAnsiTheme="majorBidi" w:cstheme="majorBidi"/>
          <w:color w:val="0A0905"/>
        </w:rPr>
      </w:pPr>
    </w:p>
    <w:p w:rsidR="00BC17E2" w:rsidRPr="00BC17E2" w:rsidRDefault="00BC17E2" w:rsidP="00BC17E2">
      <w:pPr>
        <w:rPr>
          <w:rFonts w:asciiTheme="majorBidi" w:hAnsiTheme="majorBidi" w:cstheme="majorBidi"/>
          <w:i/>
          <w:iCs/>
          <w:color w:val="000000" w:themeColor="text1"/>
        </w:rPr>
      </w:pPr>
      <w:r w:rsidRPr="00BC17E2">
        <w:rPr>
          <w:rStyle w:val="HTMLCite"/>
          <w:rFonts w:asciiTheme="majorBidi" w:hAnsiTheme="majorBidi" w:cstheme="majorBidi"/>
          <w:i w:val="0"/>
          <w:iCs w:val="0"/>
          <w:color w:val="000000" w:themeColor="text1"/>
        </w:rPr>
        <w:t xml:space="preserve">Herrmann, SD, Heumann, KJ, Der, Ananian, CA &amp; Ainsworth, BE 2013, ‘Validity and reliability of the Global Physical Activity Questionnaire (GPAQ)’, </w:t>
      </w:r>
      <w:r w:rsidRPr="00BC17E2">
        <w:rPr>
          <w:rStyle w:val="HTMLCite"/>
          <w:rFonts w:asciiTheme="majorBidi" w:hAnsiTheme="majorBidi" w:cstheme="majorBidi"/>
          <w:color w:val="000000" w:themeColor="text1"/>
        </w:rPr>
        <w:t>Measurement in Physical Education and Exercise Science</w:t>
      </w:r>
      <w:r w:rsidRPr="00BC17E2">
        <w:rPr>
          <w:rStyle w:val="HTMLCite"/>
          <w:rFonts w:asciiTheme="majorBidi" w:hAnsiTheme="majorBidi" w:cstheme="majorBidi"/>
          <w:i w:val="0"/>
          <w:iCs w:val="0"/>
          <w:color w:val="000000" w:themeColor="text1"/>
        </w:rPr>
        <w:t xml:space="preserve">, vol. 17, no. 3, pp. 221-235, viewed on 2/10/2016 </w:t>
      </w:r>
      <w:r w:rsidRPr="00BC17E2">
        <w:rPr>
          <w:rStyle w:val="HTMLCite"/>
          <w:rFonts w:asciiTheme="majorBidi" w:hAnsiTheme="majorBidi" w:cstheme="majorBidi"/>
          <w:color w:val="000000" w:themeColor="text1"/>
        </w:rPr>
        <w:t>&lt;</w:t>
      </w:r>
      <w:hyperlink r:id="rId12" w:history="1">
        <w:r w:rsidRPr="00BC17E2">
          <w:rPr>
            <w:rStyle w:val="Hyperlink"/>
            <w:rFonts w:asciiTheme="majorBidi" w:hAnsiTheme="majorBidi" w:cstheme="majorBidi"/>
            <w:color w:val="000000" w:themeColor="text1"/>
            <w:u w:val="none"/>
          </w:rPr>
          <w:t>http://dx.doi.org/10.1080/1091367X.2013.805139</w:t>
        </w:r>
      </w:hyperlink>
      <w:r w:rsidRPr="00BC17E2">
        <w:rPr>
          <w:rFonts w:asciiTheme="majorBidi" w:hAnsiTheme="majorBidi" w:cstheme="majorBidi"/>
          <w:color w:val="000000" w:themeColor="text1"/>
        </w:rPr>
        <w:t>&gt;.</w:t>
      </w:r>
    </w:p>
    <w:p w:rsidR="00BC17E2" w:rsidRDefault="00BC17E2" w:rsidP="00BC17E2">
      <w:pPr>
        <w:spacing w:after="0" w:line="240" w:lineRule="auto"/>
        <w:jc w:val="both"/>
        <w:rPr>
          <w:rFonts w:asciiTheme="majorBidi" w:hAnsiTheme="majorBidi" w:cstheme="majorBidi"/>
        </w:rPr>
      </w:pPr>
      <w:r w:rsidRPr="0038418F">
        <w:rPr>
          <w:rFonts w:asciiTheme="majorBidi" w:hAnsiTheme="majorBidi" w:cstheme="majorBidi"/>
        </w:rPr>
        <w:t xml:space="preserve">Locke, D, Gibson, W, Moss, P, Munyard, K, Mamotte, C &amp; Wright, A 2014, ‘Analysis of meaningful conditioned pain modulation effect in a pain-free adult population’, </w:t>
      </w:r>
      <w:r w:rsidRPr="0038418F">
        <w:rPr>
          <w:rFonts w:asciiTheme="majorBidi" w:hAnsiTheme="majorBidi" w:cstheme="majorBidi"/>
          <w:i/>
          <w:iCs/>
        </w:rPr>
        <w:t>The Journal of Pain</w:t>
      </w:r>
      <w:r w:rsidRPr="0038418F">
        <w:rPr>
          <w:rFonts w:asciiTheme="majorBidi" w:hAnsiTheme="majorBidi" w:cstheme="majorBidi"/>
        </w:rPr>
        <w:t>, vol. 15, no. 11, pp. 1190-1198.</w:t>
      </w:r>
    </w:p>
    <w:p w:rsidR="00BC17E2" w:rsidRDefault="00BC17E2" w:rsidP="00BC17E2">
      <w:pPr>
        <w:spacing w:after="0" w:line="240" w:lineRule="auto"/>
        <w:jc w:val="both"/>
        <w:rPr>
          <w:rFonts w:asciiTheme="majorBidi" w:hAnsiTheme="majorBidi" w:cstheme="majorBidi"/>
        </w:rPr>
      </w:pPr>
    </w:p>
    <w:p w:rsidR="00BC17E2" w:rsidRPr="0038418F" w:rsidRDefault="00BC17E2" w:rsidP="00BC17E2">
      <w:pPr>
        <w:rPr>
          <w:rFonts w:asciiTheme="majorBidi" w:hAnsiTheme="majorBidi" w:cstheme="majorBidi"/>
        </w:rPr>
      </w:pPr>
      <w:r>
        <w:rPr>
          <w:rFonts w:asciiTheme="majorBidi" w:hAnsiTheme="majorBidi" w:cstheme="majorBidi"/>
        </w:rPr>
        <w:t xml:space="preserve">Norton, K &amp; Norton L 2011, </w:t>
      </w:r>
      <w:r>
        <w:rPr>
          <w:rFonts w:asciiTheme="majorBidi" w:hAnsiTheme="majorBidi" w:cstheme="majorBidi"/>
          <w:i/>
          <w:iCs/>
        </w:rPr>
        <w:t>Pre-exercise screening: a guide to the Australian adult pre-exercise screening tool</w:t>
      </w:r>
      <w:r>
        <w:rPr>
          <w:rFonts w:asciiTheme="majorBidi" w:hAnsiTheme="majorBidi" w:cstheme="majorBidi"/>
        </w:rPr>
        <w:t xml:space="preserve">, </w:t>
      </w:r>
      <w:r>
        <w:rPr>
          <w:rFonts w:asciiTheme="majorBidi" w:eastAsia="Times New Roman" w:hAnsiTheme="majorBidi" w:cstheme="majorBidi"/>
        </w:rPr>
        <w:t>E</w:t>
      </w:r>
      <w:r>
        <w:rPr>
          <w:rFonts w:asciiTheme="majorBidi" w:hAnsiTheme="majorBidi" w:cstheme="majorBidi"/>
        </w:rPr>
        <w:t xml:space="preserve">xercise and Sport Science Australia (ESSA), Fitness Australia (FA), and Sports Medicine Australia (SMA), Australia. </w:t>
      </w:r>
    </w:p>
    <w:p w:rsidR="00BC17E2" w:rsidRPr="0038418F" w:rsidRDefault="00BC17E2" w:rsidP="00BC17E2">
      <w:pPr>
        <w:spacing w:after="0" w:line="240" w:lineRule="auto"/>
        <w:rPr>
          <w:rFonts w:asciiTheme="majorBidi" w:hAnsiTheme="majorBidi" w:cstheme="majorBidi"/>
        </w:rPr>
      </w:pPr>
      <w:r w:rsidRPr="0038418F">
        <w:rPr>
          <w:rFonts w:asciiTheme="majorBidi" w:hAnsiTheme="majorBidi" w:cstheme="majorBidi"/>
        </w:rPr>
        <w:t xml:space="preserve">Paungmali, A, O’Leary, S, Souvlis, T &amp; Vicenzino, B 2003, ‘Hypoalgesic and sympathoexcitatory effects of mobilization with movement for lateral epicondylalgia’, </w:t>
      </w:r>
      <w:r w:rsidRPr="0038418F">
        <w:rPr>
          <w:rFonts w:asciiTheme="majorBidi" w:hAnsiTheme="majorBidi" w:cstheme="majorBidi"/>
          <w:i/>
          <w:iCs/>
        </w:rPr>
        <w:t>Physical Therapy</w:t>
      </w:r>
      <w:r w:rsidRPr="0038418F">
        <w:rPr>
          <w:rFonts w:asciiTheme="majorBidi" w:hAnsiTheme="majorBidi" w:cstheme="majorBidi"/>
        </w:rPr>
        <w:t xml:space="preserve">, vol. 83, no. 4, pp. 374-383. </w:t>
      </w:r>
    </w:p>
    <w:p w:rsidR="00BC17E2" w:rsidRPr="0038418F" w:rsidRDefault="00BC17E2" w:rsidP="00BC17E2">
      <w:pPr>
        <w:spacing w:after="0" w:line="240" w:lineRule="auto"/>
        <w:rPr>
          <w:rFonts w:asciiTheme="majorBidi" w:hAnsiTheme="majorBidi" w:cstheme="majorBidi"/>
          <w:color w:val="000000" w:themeColor="text1"/>
        </w:rPr>
      </w:pPr>
    </w:p>
    <w:p w:rsidR="00BC17E2" w:rsidRPr="00EF7C32" w:rsidRDefault="00FE5557" w:rsidP="00BC17E2">
      <w:pPr>
        <w:spacing w:after="0" w:line="240" w:lineRule="auto"/>
        <w:rPr>
          <w:rFonts w:asciiTheme="majorBidi" w:hAnsiTheme="majorBidi" w:cstheme="majorBidi"/>
          <w:color w:val="000000" w:themeColor="text1"/>
        </w:rPr>
      </w:pPr>
      <w:hyperlink r:id="rId13" w:history="1">
        <w:r w:rsidR="00BC17E2" w:rsidRPr="00EF7C32">
          <w:rPr>
            <w:rStyle w:val="Hyperlink"/>
            <w:rFonts w:asciiTheme="majorBidi" w:hAnsiTheme="majorBidi" w:cstheme="majorBidi"/>
            <w:color w:val="000000" w:themeColor="text1"/>
            <w:u w:val="none"/>
          </w:rPr>
          <w:t>Smidt, N</w:t>
        </w:r>
      </w:hyperlink>
      <w:r w:rsidR="00BC17E2" w:rsidRPr="00EF7C32">
        <w:rPr>
          <w:rFonts w:asciiTheme="majorBidi" w:hAnsiTheme="majorBidi" w:cstheme="majorBidi"/>
          <w:color w:val="000000" w:themeColor="text1"/>
        </w:rPr>
        <w:t xml:space="preserve">, </w:t>
      </w:r>
      <w:hyperlink r:id="rId14" w:history="1">
        <w:r w:rsidR="00BC17E2" w:rsidRPr="00EF7C32">
          <w:rPr>
            <w:rStyle w:val="Hyperlink"/>
            <w:rFonts w:asciiTheme="majorBidi" w:hAnsiTheme="majorBidi" w:cstheme="majorBidi"/>
            <w:color w:val="000000" w:themeColor="text1"/>
            <w:u w:val="none"/>
          </w:rPr>
          <w:t>van der Windt, DA</w:t>
        </w:r>
      </w:hyperlink>
      <w:r w:rsidR="00BC17E2" w:rsidRPr="00EF7C32">
        <w:rPr>
          <w:rFonts w:asciiTheme="majorBidi" w:hAnsiTheme="majorBidi" w:cstheme="majorBidi"/>
          <w:color w:val="000000" w:themeColor="text1"/>
        </w:rPr>
        <w:t xml:space="preserve">, </w:t>
      </w:r>
      <w:hyperlink r:id="rId15" w:history="1">
        <w:r w:rsidR="00BC17E2" w:rsidRPr="00EF7C32">
          <w:rPr>
            <w:rStyle w:val="Hyperlink"/>
            <w:rFonts w:asciiTheme="majorBidi" w:hAnsiTheme="majorBidi" w:cstheme="majorBidi"/>
            <w:color w:val="000000" w:themeColor="text1"/>
            <w:u w:val="none"/>
          </w:rPr>
          <w:t>Assendelft, WJ</w:t>
        </w:r>
      </w:hyperlink>
      <w:r w:rsidR="00BC17E2" w:rsidRPr="00EF7C32">
        <w:rPr>
          <w:rFonts w:asciiTheme="majorBidi" w:hAnsiTheme="majorBidi" w:cstheme="majorBidi"/>
          <w:color w:val="000000" w:themeColor="text1"/>
        </w:rPr>
        <w:t xml:space="preserve">, </w:t>
      </w:r>
      <w:hyperlink r:id="rId16" w:history="1">
        <w:r w:rsidR="00BC17E2" w:rsidRPr="00EF7C32">
          <w:rPr>
            <w:rStyle w:val="Hyperlink"/>
            <w:rFonts w:asciiTheme="majorBidi" w:hAnsiTheme="majorBidi" w:cstheme="majorBidi"/>
            <w:color w:val="000000" w:themeColor="text1"/>
            <w:u w:val="none"/>
          </w:rPr>
          <w:t>Mourits, AJ</w:t>
        </w:r>
      </w:hyperlink>
      <w:r w:rsidR="00BC17E2" w:rsidRPr="00EF7C32">
        <w:rPr>
          <w:rFonts w:asciiTheme="majorBidi" w:hAnsiTheme="majorBidi" w:cstheme="majorBidi"/>
          <w:color w:val="000000" w:themeColor="text1"/>
        </w:rPr>
        <w:t xml:space="preserve">, </w:t>
      </w:r>
      <w:hyperlink r:id="rId17" w:history="1">
        <w:r w:rsidR="00BC17E2" w:rsidRPr="00EF7C32">
          <w:rPr>
            <w:rStyle w:val="Hyperlink"/>
            <w:rFonts w:asciiTheme="majorBidi" w:hAnsiTheme="majorBidi" w:cstheme="majorBidi"/>
            <w:color w:val="000000" w:themeColor="text1"/>
            <w:u w:val="none"/>
          </w:rPr>
          <w:t>Devillé, WL</w:t>
        </w:r>
      </w:hyperlink>
      <w:r w:rsidR="00BC17E2" w:rsidRPr="00EF7C32">
        <w:rPr>
          <w:rFonts w:asciiTheme="majorBidi" w:hAnsiTheme="majorBidi" w:cstheme="majorBidi"/>
          <w:color w:val="000000" w:themeColor="text1"/>
        </w:rPr>
        <w:t xml:space="preserve">, </w:t>
      </w:r>
      <w:hyperlink r:id="rId18" w:history="1">
        <w:r w:rsidR="00BC17E2" w:rsidRPr="00EF7C32">
          <w:rPr>
            <w:rStyle w:val="Hyperlink"/>
            <w:rFonts w:asciiTheme="majorBidi" w:hAnsiTheme="majorBidi" w:cstheme="majorBidi"/>
            <w:color w:val="000000" w:themeColor="text1"/>
            <w:u w:val="none"/>
          </w:rPr>
          <w:t>de Winter, AF</w:t>
        </w:r>
      </w:hyperlink>
      <w:r w:rsidR="00BC17E2" w:rsidRPr="00EF7C32">
        <w:rPr>
          <w:rFonts w:asciiTheme="majorBidi" w:hAnsiTheme="majorBidi" w:cstheme="majorBidi"/>
          <w:color w:val="000000" w:themeColor="text1"/>
        </w:rPr>
        <w:t xml:space="preserve"> &amp; </w:t>
      </w:r>
      <w:hyperlink r:id="rId19" w:history="1">
        <w:r w:rsidR="00BC17E2" w:rsidRPr="00EF7C32">
          <w:rPr>
            <w:rStyle w:val="Hyperlink"/>
            <w:rFonts w:asciiTheme="majorBidi" w:hAnsiTheme="majorBidi" w:cstheme="majorBidi"/>
            <w:color w:val="000000" w:themeColor="text1"/>
            <w:u w:val="none"/>
          </w:rPr>
          <w:t>Bouter, LM</w:t>
        </w:r>
      </w:hyperlink>
      <w:r w:rsidR="00BC17E2" w:rsidRPr="00EF7C32">
        <w:rPr>
          <w:rFonts w:asciiTheme="majorBidi" w:hAnsiTheme="majorBidi" w:cstheme="majorBidi"/>
          <w:color w:val="000000" w:themeColor="text1"/>
        </w:rPr>
        <w:t xml:space="preserve"> 2002 ‘Interobserver reproducibility of the assessment of severity of complaints, grip strength, and pressure pain threshold in patients with lateral epicondylitis’, </w:t>
      </w:r>
      <w:r w:rsidR="00BC17E2" w:rsidRPr="00EF7C32">
        <w:rPr>
          <w:rFonts w:asciiTheme="majorBidi" w:hAnsiTheme="majorBidi" w:cstheme="majorBidi"/>
          <w:i/>
          <w:iCs/>
          <w:color w:val="000000" w:themeColor="text1"/>
        </w:rPr>
        <w:t>Archives of Physical Medicine and Rehabilitation</w:t>
      </w:r>
      <w:r w:rsidR="00BC17E2" w:rsidRPr="00EF7C32">
        <w:rPr>
          <w:rFonts w:asciiTheme="majorBidi" w:hAnsiTheme="majorBidi" w:cstheme="majorBidi"/>
          <w:color w:val="000000" w:themeColor="text1"/>
        </w:rPr>
        <w:t xml:space="preserve">, </w:t>
      </w:r>
      <w:hyperlink r:id="rId20" w:tooltip="Go to table of contents for this volume/issue" w:history="1">
        <w:r w:rsidR="00BC17E2" w:rsidRPr="00EF7C32">
          <w:rPr>
            <w:rStyle w:val="Hyperlink"/>
            <w:rFonts w:asciiTheme="majorBidi" w:hAnsiTheme="majorBidi" w:cstheme="majorBidi"/>
            <w:color w:val="000000" w:themeColor="text1"/>
            <w:u w:val="none"/>
          </w:rPr>
          <w:t>vol. 83, no. 8</w:t>
        </w:r>
      </w:hyperlink>
      <w:r w:rsidR="00BC17E2" w:rsidRPr="00EF7C32">
        <w:rPr>
          <w:rFonts w:asciiTheme="majorBidi" w:hAnsiTheme="majorBidi" w:cstheme="majorBidi"/>
          <w:color w:val="000000" w:themeColor="text1"/>
        </w:rPr>
        <w:t>, pp. 1145–1150.</w:t>
      </w:r>
    </w:p>
    <w:p w:rsidR="00BC17E2" w:rsidRPr="0061772D" w:rsidRDefault="00BC17E2" w:rsidP="00BC17E2">
      <w:pPr>
        <w:spacing w:after="0" w:line="240" w:lineRule="auto"/>
        <w:rPr>
          <w:rFonts w:asciiTheme="majorBidi" w:hAnsiTheme="majorBidi" w:cstheme="majorBidi"/>
        </w:rPr>
      </w:pPr>
    </w:p>
    <w:p w:rsidR="00BC17E2" w:rsidRPr="00EF7C32" w:rsidRDefault="00FE5557" w:rsidP="00BC17E2">
      <w:pPr>
        <w:spacing w:after="0" w:line="240" w:lineRule="auto"/>
        <w:rPr>
          <w:rStyle w:val="exlresultdetails"/>
          <w:rFonts w:asciiTheme="majorBidi" w:hAnsiTheme="majorBidi" w:cstheme="majorBidi"/>
          <w:color w:val="000000" w:themeColor="text1"/>
        </w:rPr>
      </w:pPr>
      <w:hyperlink r:id="rId21" w:history="1">
        <w:r w:rsidR="00BC17E2" w:rsidRPr="00EF7C32">
          <w:rPr>
            <w:rStyle w:val="Hyperlink"/>
            <w:rFonts w:asciiTheme="majorBidi" w:hAnsiTheme="majorBidi" w:cstheme="majorBidi"/>
            <w:color w:val="000000" w:themeColor="text1"/>
            <w:u w:val="none"/>
          </w:rPr>
          <w:t>Vicenzino, B</w:t>
        </w:r>
      </w:hyperlink>
      <w:r w:rsidR="00BC17E2" w:rsidRPr="00EF7C32">
        <w:rPr>
          <w:rFonts w:asciiTheme="majorBidi" w:hAnsiTheme="majorBidi" w:cstheme="majorBidi"/>
          <w:color w:val="000000" w:themeColor="text1"/>
        </w:rPr>
        <w:t xml:space="preserve">, </w:t>
      </w:r>
      <w:hyperlink r:id="rId22" w:history="1">
        <w:r w:rsidR="00BC17E2" w:rsidRPr="00EF7C32">
          <w:rPr>
            <w:rStyle w:val="Hyperlink"/>
            <w:rFonts w:asciiTheme="majorBidi" w:hAnsiTheme="majorBidi" w:cstheme="majorBidi"/>
            <w:color w:val="000000" w:themeColor="text1"/>
            <w:u w:val="none"/>
          </w:rPr>
          <w:t>Collins, D</w:t>
        </w:r>
      </w:hyperlink>
      <w:r w:rsidR="00BC17E2" w:rsidRPr="00EF7C32">
        <w:rPr>
          <w:rFonts w:asciiTheme="majorBidi" w:hAnsiTheme="majorBidi" w:cstheme="majorBidi"/>
          <w:color w:val="000000" w:themeColor="text1"/>
        </w:rPr>
        <w:t xml:space="preserve">, </w:t>
      </w:r>
      <w:hyperlink r:id="rId23" w:history="1">
        <w:r w:rsidR="00BC17E2" w:rsidRPr="00EF7C32">
          <w:rPr>
            <w:rStyle w:val="Hyperlink"/>
            <w:rFonts w:asciiTheme="majorBidi" w:hAnsiTheme="majorBidi" w:cstheme="majorBidi"/>
            <w:color w:val="000000" w:themeColor="text1"/>
            <w:u w:val="none"/>
          </w:rPr>
          <w:t>Benson, H</w:t>
        </w:r>
      </w:hyperlink>
      <w:r w:rsidR="00BC17E2" w:rsidRPr="00EF7C32">
        <w:rPr>
          <w:rFonts w:asciiTheme="majorBidi" w:hAnsiTheme="majorBidi" w:cstheme="majorBidi"/>
          <w:color w:val="000000" w:themeColor="text1"/>
        </w:rPr>
        <w:t xml:space="preserve"> &amp; </w:t>
      </w:r>
      <w:hyperlink r:id="rId24" w:history="1">
        <w:r w:rsidR="00BC17E2" w:rsidRPr="00EF7C32">
          <w:rPr>
            <w:rStyle w:val="Hyperlink"/>
            <w:rFonts w:asciiTheme="majorBidi" w:hAnsiTheme="majorBidi" w:cstheme="majorBidi"/>
            <w:color w:val="000000" w:themeColor="text1"/>
            <w:u w:val="none"/>
          </w:rPr>
          <w:t>Wright, A</w:t>
        </w:r>
      </w:hyperlink>
      <w:r w:rsidR="00BC17E2" w:rsidRPr="00EF7C32">
        <w:rPr>
          <w:rFonts w:asciiTheme="majorBidi" w:hAnsiTheme="majorBidi" w:cstheme="majorBidi"/>
          <w:color w:val="000000" w:themeColor="text1"/>
        </w:rPr>
        <w:t xml:space="preserve"> 1998, ‘An investigation of the interrelationship between manipulative therapy-induced hypoalgesia and sympathoexcitation’, </w:t>
      </w:r>
      <w:r w:rsidR="00BC17E2" w:rsidRPr="00EF7C32">
        <w:rPr>
          <w:rStyle w:val="exlresultdetails"/>
          <w:rFonts w:asciiTheme="majorBidi" w:hAnsiTheme="majorBidi" w:cstheme="majorBidi"/>
          <w:i/>
          <w:iCs/>
          <w:color w:val="000000" w:themeColor="text1"/>
        </w:rPr>
        <w:t xml:space="preserve">Journal of </w:t>
      </w:r>
      <w:r w:rsidR="00BC17E2" w:rsidRPr="00EF7C32">
        <w:rPr>
          <w:rStyle w:val="searchword"/>
          <w:rFonts w:asciiTheme="majorBidi" w:hAnsiTheme="majorBidi" w:cstheme="majorBidi"/>
          <w:i/>
          <w:iCs/>
          <w:color w:val="000000" w:themeColor="text1"/>
        </w:rPr>
        <w:t>Manipulative</w:t>
      </w:r>
      <w:r w:rsidR="00BC17E2" w:rsidRPr="00EF7C32">
        <w:rPr>
          <w:rStyle w:val="exlresultdetails"/>
          <w:rFonts w:asciiTheme="majorBidi" w:hAnsiTheme="majorBidi" w:cstheme="majorBidi"/>
          <w:i/>
          <w:iCs/>
          <w:color w:val="000000" w:themeColor="text1"/>
        </w:rPr>
        <w:t xml:space="preserve"> and Physiological Therapeutics, </w:t>
      </w:r>
      <w:r w:rsidR="00BC17E2" w:rsidRPr="00EF7C32">
        <w:rPr>
          <w:rStyle w:val="exlresultdetails"/>
          <w:rFonts w:asciiTheme="majorBidi" w:hAnsiTheme="majorBidi" w:cstheme="majorBidi"/>
          <w:color w:val="000000" w:themeColor="text1"/>
        </w:rPr>
        <w:t>vol. 21, no. 7, pp.448-453.</w:t>
      </w:r>
      <w:r w:rsidR="00BC17E2" w:rsidRPr="00EF7C32">
        <w:rPr>
          <w:rStyle w:val="exlresultdetails"/>
          <w:rFonts w:asciiTheme="majorBidi" w:hAnsiTheme="majorBidi" w:cstheme="majorBidi"/>
          <w:i/>
          <w:iCs/>
          <w:color w:val="000000" w:themeColor="text1"/>
        </w:rPr>
        <w:t xml:space="preserve"> </w:t>
      </w:r>
    </w:p>
    <w:p w:rsidR="00BC17E2" w:rsidRPr="00EF7C32" w:rsidRDefault="00BC17E2" w:rsidP="00BC17E2">
      <w:pPr>
        <w:spacing w:after="0" w:line="240" w:lineRule="auto"/>
        <w:rPr>
          <w:rStyle w:val="exlresultdetails"/>
          <w:rFonts w:asciiTheme="majorBidi" w:hAnsiTheme="majorBidi" w:cstheme="majorBidi"/>
          <w:i/>
          <w:iCs/>
          <w:color w:val="000000" w:themeColor="text1"/>
        </w:rPr>
      </w:pPr>
    </w:p>
    <w:p w:rsidR="00BC17E2" w:rsidRPr="00EF7C32" w:rsidRDefault="00FE5557" w:rsidP="00BC17E2">
      <w:pPr>
        <w:spacing w:after="0" w:line="240" w:lineRule="auto"/>
        <w:rPr>
          <w:rStyle w:val="exlresultdetails"/>
          <w:rFonts w:asciiTheme="majorBidi" w:hAnsiTheme="majorBidi" w:cstheme="majorBidi"/>
          <w:i/>
          <w:iCs/>
        </w:rPr>
      </w:pPr>
      <w:hyperlink r:id="rId25" w:history="1">
        <w:r w:rsidR="00BC17E2" w:rsidRPr="00EF7C32">
          <w:rPr>
            <w:rStyle w:val="Hyperlink"/>
            <w:rFonts w:asciiTheme="majorBidi" w:hAnsiTheme="majorBidi" w:cstheme="majorBidi"/>
            <w:color w:val="000000" w:themeColor="text1"/>
            <w:u w:val="none"/>
          </w:rPr>
          <w:t>Vicenzino, B</w:t>
        </w:r>
      </w:hyperlink>
      <w:r w:rsidR="00BC17E2" w:rsidRPr="00EF7C32">
        <w:rPr>
          <w:rFonts w:asciiTheme="majorBidi" w:hAnsiTheme="majorBidi" w:cstheme="majorBidi"/>
          <w:color w:val="000000" w:themeColor="text1"/>
        </w:rPr>
        <w:t xml:space="preserve">, </w:t>
      </w:r>
      <w:hyperlink r:id="rId26" w:history="1">
        <w:r w:rsidR="00BC17E2" w:rsidRPr="00EF7C32">
          <w:rPr>
            <w:rStyle w:val="Hyperlink"/>
            <w:rFonts w:asciiTheme="majorBidi" w:hAnsiTheme="majorBidi" w:cstheme="majorBidi"/>
            <w:color w:val="000000" w:themeColor="text1"/>
            <w:u w:val="none"/>
          </w:rPr>
          <w:t>Collins, D</w:t>
        </w:r>
      </w:hyperlink>
      <w:r w:rsidR="00BC17E2" w:rsidRPr="00EF7C32">
        <w:rPr>
          <w:rFonts w:asciiTheme="majorBidi" w:hAnsiTheme="majorBidi" w:cstheme="majorBidi"/>
          <w:color w:val="000000" w:themeColor="text1"/>
        </w:rPr>
        <w:t xml:space="preserve"> &amp; </w:t>
      </w:r>
      <w:hyperlink r:id="rId27" w:history="1">
        <w:r w:rsidR="00BC17E2" w:rsidRPr="00EF7C32">
          <w:rPr>
            <w:rStyle w:val="Hyperlink"/>
            <w:rFonts w:asciiTheme="majorBidi" w:hAnsiTheme="majorBidi" w:cstheme="majorBidi"/>
            <w:color w:val="000000" w:themeColor="text1"/>
            <w:u w:val="none"/>
          </w:rPr>
          <w:t>Wright, A</w:t>
        </w:r>
      </w:hyperlink>
      <w:r w:rsidR="00BC17E2" w:rsidRPr="00EF7C32">
        <w:rPr>
          <w:rFonts w:asciiTheme="majorBidi" w:hAnsiTheme="majorBidi" w:cstheme="majorBidi"/>
          <w:color w:val="000000" w:themeColor="text1"/>
        </w:rPr>
        <w:t xml:space="preserve"> 1996, ‘The initial effects of a cervical spine manipulative physiotherapy treatment on the pain and dysfunction of </w:t>
      </w:r>
      <w:r w:rsidR="00BC17E2" w:rsidRPr="00EF7C32">
        <w:rPr>
          <w:rFonts w:asciiTheme="majorBidi" w:hAnsiTheme="majorBidi" w:cstheme="majorBidi"/>
        </w:rPr>
        <w:t xml:space="preserve">lateral epicondylalgia’, </w:t>
      </w:r>
      <w:r w:rsidR="00BC17E2" w:rsidRPr="00EF7C32">
        <w:rPr>
          <w:rStyle w:val="exlresultdetails"/>
          <w:rFonts w:asciiTheme="majorBidi" w:hAnsiTheme="majorBidi" w:cstheme="majorBidi"/>
          <w:i/>
          <w:iCs/>
        </w:rPr>
        <w:t xml:space="preserve">Pain, </w:t>
      </w:r>
      <w:r w:rsidR="00BC17E2" w:rsidRPr="00EF7C32">
        <w:rPr>
          <w:rStyle w:val="exlresultdetails"/>
          <w:rFonts w:asciiTheme="majorBidi" w:hAnsiTheme="majorBidi" w:cstheme="majorBidi"/>
        </w:rPr>
        <w:t>vol. 68, pp.69-74.</w:t>
      </w:r>
      <w:r w:rsidR="00BC17E2" w:rsidRPr="00EF7C32">
        <w:rPr>
          <w:rStyle w:val="exlresultdetails"/>
          <w:rFonts w:asciiTheme="majorBidi" w:hAnsiTheme="majorBidi" w:cstheme="majorBidi"/>
          <w:i/>
          <w:iCs/>
        </w:rPr>
        <w:t xml:space="preserve"> </w:t>
      </w:r>
    </w:p>
    <w:p w:rsidR="00BC17E2" w:rsidRPr="0038418F" w:rsidRDefault="00BC17E2" w:rsidP="00BC17E2">
      <w:pPr>
        <w:spacing w:after="0"/>
        <w:rPr>
          <w:rStyle w:val="exlresultdetails"/>
          <w:rFonts w:asciiTheme="majorBidi" w:hAnsiTheme="majorBidi" w:cstheme="majorBidi"/>
          <w:i/>
          <w:iCs/>
        </w:rPr>
      </w:pPr>
    </w:p>
    <w:p w:rsidR="00BC17E2" w:rsidRDefault="00BC17E2" w:rsidP="00BC17E2">
      <w:pPr>
        <w:spacing w:after="0" w:line="240" w:lineRule="auto"/>
        <w:rPr>
          <w:rFonts w:asciiTheme="majorBidi" w:hAnsiTheme="majorBidi" w:cstheme="majorBidi"/>
          <w:color w:val="000000" w:themeColor="text1"/>
        </w:rPr>
      </w:pPr>
      <w:r w:rsidRPr="0038418F">
        <w:rPr>
          <w:rFonts w:asciiTheme="majorBidi" w:hAnsiTheme="majorBidi" w:cstheme="majorBidi"/>
          <w:kern w:val="36"/>
        </w:rPr>
        <w:t xml:space="preserve">Waller, R, Straker, L, O’Sullivan, P, Sterling, </w:t>
      </w:r>
      <w:r w:rsidRPr="00EF7C32">
        <w:rPr>
          <w:rFonts w:asciiTheme="majorBidi" w:hAnsiTheme="majorBidi" w:cstheme="majorBidi"/>
          <w:kern w:val="36"/>
        </w:rPr>
        <w:t xml:space="preserve">M &amp; Smith, A 2015, ‘Reliability of pressure pain threshold testing (PPT) in healthy pain free young adults’, </w:t>
      </w:r>
      <w:hyperlink r:id="rId28" w:tooltip="Go to Scandinavian Journal of Pain on ScienceDirect" w:history="1">
        <w:r w:rsidRPr="00EF7C32">
          <w:rPr>
            <w:rStyle w:val="Hyperlink"/>
            <w:rFonts w:asciiTheme="majorBidi" w:hAnsiTheme="majorBidi" w:cstheme="majorBidi"/>
            <w:i/>
            <w:iCs/>
            <w:color w:val="000000" w:themeColor="text1"/>
            <w:u w:val="none"/>
            <w:bdr w:val="none" w:sz="0" w:space="0" w:color="auto" w:frame="1"/>
          </w:rPr>
          <w:t>Scandinavian Journal of Pain</w:t>
        </w:r>
      </w:hyperlink>
      <w:r w:rsidRPr="00EF7C32">
        <w:rPr>
          <w:rFonts w:asciiTheme="majorBidi" w:hAnsiTheme="majorBidi" w:cstheme="majorBidi"/>
          <w:color w:val="000000" w:themeColor="text1"/>
        </w:rPr>
        <w:t xml:space="preserve">, </w:t>
      </w:r>
      <w:hyperlink r:id="rId29" w:tooltip="Go to table of contents for this volume/issue" w:history="1">
        <w:r w:rsidRPr="00EF7C32">
          <w:rPr>
            <w:rStyle w:val="Hyperlink"/>
            <w:rFonts w:asciiTheme="majorBidi" w:hAnsiTheme="majorBidi" w:cstheme="majorBidi"/>
            <w:color w:val="000000" w:themeColor="text1"/>
            <w:u w:val="none"/>
          </w:rPr>
          <w:t>vol. 9</w:t>
        </w:r>
      </w:hyperlink>
      <w:r w:rsidRPr="00EF7C32">
        <w:rPr>
          <w:rFonts w:asciiTheme="majorBidi" w:hAnsiTheme="majorBidi" w:cstheme="majorBidi"/>
          <w:color w:val="000000" w:themeColor="text1"/>
        </w:rPr>
        <w:t>, pp. 38-41.</w:t>
      </w:r>
      <w:r w:rsidRPr="0038418F">
        <w:rPr>
          <w:rFonts w:asciiTheme="majorBidi" w:hAnsiTheme="majorBidi" w:cstheme="majorBidi"/>
          <w:color w:val="000000" w:themeColor="text1"/>
        </w:rPr>
        <w:t xml:space="preserve"> </w:t>
      </w:r>
    </w:p>
    <w:p w:rsidR="00BC17E2" w:rsidRDefault="00BC17E2" w:rsidP="00BC17E2">
      <w:pPr>
        <w:spacing w:after="0" w:line="240" w:lineRule="auto"/>
        <w:rPr>
          <w:rFonts w:asciiTheme="majorBidi" w:hAnsiTheme="majorBidi" w:cstheme="majorBidi"/>
          <w:color w:val="000000" w:themeColor="text1"/>
        </w:rPr>
      </w:pPr>
    </w:p>
    <w:p w:rsidR="00BC17E2" w:rsidRPr="003F1AF9" w:rsidRDefault="00BC17E2" w:rsidP="00BC17E2">
      <w:pPr>
        <w:rPr>
          <w:rFonts w:asciiTheme="majorBidi" w:hAnsiTheme="majorBidi" w:cstheme="majorBidi"/>
        </w:rPr>
      </w:pPr>
      <w:r>
        <w:rPr>
          <w:rFonts w:asciiTheme="majorBidi" w:hAnsiTheme="majorBidi" w:cstheme="majorBidi"/>
        </w:rPr>
        <w:t>World Health Organization 2005</w:t>
      </w:r>
      <w:r>
        <w:rPr>
          <w:rFonts w:asciiTheme="majorBidi" w:hAnsiTheme="majorBidi" w:cstheme="majorBidi"/>
          <w:i/>
          <w:iCs/>
        </w:rPr>
        <w:t>, WHO STEPS Surveillance Manual: the WHO STEPwise Approach to Chronic Disease Risk Factor Surveillance</w:t>
      </w:r>
      <w:r>
        <w:rPr>
          <w:rFonts w:asciiTheme="majorBidi" w:hAnsiTheme="majorBidi" w:cstheme="majorBidi"/>
        </w:rPr>
        <w:t xml:space="preserve">, World Health Organization, Geneva, Switzerland.  </w:t>
      </w:r>
    </w:p>
    <w:p w:rsidR="00BC17E2" w:rsidRPr="003F1AF9" w:rsidRDefault="00FE5557" w:rsidP="00BC17E2">
      <w:pPr>
        <w:spacing w:after="0" w:line="240" w:lineRule="auto"/>
        <w:rPr>
          <w:rFonts w:asciiTheme="majorBidi" w:hAnsiTheme="majorBidi" w:cstheme="majorBidi"/>
          <w:color w:val="000000" w:themeColor="text1"/>
        </w:rPr>
      </w:pPr>
      <w:hyperlink r:id="rId30" w:history="1">
        <w:r w:rsidR="00BC17E2" w:rsidRPr="002311BD">
          <w:rPr>
            <w:rStyle w:val="Hyperlink"/>
            <w:rFonts w:asciiTheme="majorBidi" w:hAnsiTheme="majorBidi" w:cstheme="majorBidi"/>
            <w:color w:val="000000" w:themeColor="text1"/>
            <w:u w:val="none"/>
          </w:rPr>
          <w:t>Yaxley</w:t>
        </w:r>
      </w:hyperlink>
      <w:r w:rsidR="00BC17E2" w:rsidRPr="002311BD">
        <w:rPr>
          <w:rStyle w:val="author"/>
          <w:rFonts w:asciiTheme="majorBidi" w:hAnsiTheme="majorBidi" w:cstheme="majorBidi"/>
          <w:color w:val="000000" w:themeColor="text1"/>
        </w:rPr>
        <w:t>, GA</w:t>
      </w:r>
      <w:r w:rsidR="00BC17E2" w:rsidRPr="0038418F">
        <w:rPr>
          <w:rStyle w:val="author"/>
          <w:rFonts w:asciiTheme="majorBidi" w:hAnsiTheme="majorBidi" w:cstheme="majorBidi"/>
          <w:color w:val="000000" w:themeColor="text1"/>
        </w:rPr>
        <w:t xml:space="preserve"> &amp;</w:t>
      </w:r>
      <w:r w:rsidR="00BC17E2" w:rsidRPr="0038418F">
        <w:rPr>
          <w:rStyle w:val="author-name"/>
          <w:rFonts w:asciiTheme="majorBidi" w:hAnsiTheme="majorBidi" w:cstheme="majorBidi"/>
          <w:color w:val="000000" w:themeColor="text1"/>
        </w:rPr>
        <w:t xml:space="preserve"> Jull</w:t>
      </w:r>
      <w:r w:rsidR="00BC17E2" w:rsidRPr="0038418F">
        <w:rPr>
          <w:rStyle w:val="author"/>
          <w:rFonts w:asciiTheme="majorBidi" w:hAnsiTheme="majorBidi" w:cstheme="majorBidi"/>
          <w:color w:val="000000" w:themeColor="text1"/>
        </w:rPr>
        <w:t>, GA  1993, ‘</w:t>
      </w:r>
      <w:r w:rsidR="00BC17E2" w:rsidRPr="0038418F">
        <w:rPr>
          <w:rFonts w:asciiTheme="majorBidi" w:hAnsiTheme="majorBidi" w:cstheme="majorBidi"/>
          <w:color w:val="000000" w:themeColor="text1"/>
        </w:rPr>
        <w:t xml:space="preserve">Adverse tension in the neural system. A preliminary study of tennis elbow’, </w:t>
      </w:r>
      <w:r w:rsidR="00BC17E2" w:rsidRPr="0038418F">
        <w:rPr>
          <w:rFonts w:asciiTheme="majorBidi" w:hAnsiTheme="majorBidi" w:cstheme="majorBidi"/>
          <w:i/>
          <w:iCs/>
          <w:color w:val="000000" w:themeColor="text1"/>
        </w:rPr>
        <w:t>Australian Journal Physiotherapy</w:t>
      </w:r>
      <w:r w:rsidR="00BC17E2">
        <w:rPr>
          <w:rFonts w:asciiTheme="majorBidi" w:hAnsiTheme="majorBidi" w:cstheme="majorBidi"/>
          <w:color w:val="000000" w:themeColor="text1"/>
        </w:rPr>
        <w:t>, vol. 39, no. 1, pp. 15-22.</w:t>
      </w:r>
    </w:p>
    <w:p w:rsidR="00BC17E2" w:rsidRDefault="00BC17E2" w:rsidP="00BC17E2">
      <w:pPr>
        <w:spacing w:after="0" w:line="240" w:lineRule="auto"/>
        <w:jc w:val="both"/>
        <w:rPr>
          <w:rFonts w:asciiTheme="majorBidi" w:hAnsiTheme="majorBidi" w:cstheme="majorBidi"/>
          <w:sz w:val="24"/>
          <w:szCs w:val="24"/>
        </w:rPr>
      </w:pPr>
    </w:p>
    <w:p w:rsidR="00AA0E6A" w:rsidRDefault="00FE5557"/>
    <w:sectPr w:rsidR="00AA0E6A" w:rsidSect="00CB3C5D">
      <w:headerReference w:type="even" r:id="rId31"/>
      <w:headerReference w:type="default" r:id="rId32"/>
      <w:footerReference w:type="even" r:id="rId33"/>
      <w:footerReference w:type="default" r:id="rId34"/>
      <w:headerReference w:type="first" r:id="rId35"/>
      <w:footerReference w:type="first" r:id="rId36"/>
      <w:pgSz w:w="12240" w:h="15840"/>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557" w:rsidRDefault="00FE5557" w:rsidP="00751270">
      <w:pPr>
        <w:spacing w:after="0" w:line="240" w:lineRule="auto"/>
      </w:pPr>
      <w:r>
        <w:separator/>
      </w:r>
    </w:p>
  </w:endnote>
  <w:endnote w:type="continuationSeparator" w:id="0">
    <w:p w:rsidR="00FE5557" w:rsidRDefault="00FE5557" w:rsidP="0075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270" w:rsidRDefault="007512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206180"/>
      <w:docPartObj>
        <w:docPartGallery w:val="Page Numbers (Bottom of Page)"/>
        <w:docPartUnique/>
      </w:docPartObj>
    </w:sdtPr>
    <w:sdtEndPr>
      <w:rPr>
        <w:noProof/>
      </w:rPr>
    </w:sdtEndPr>
    <w:sdtContent>
      <w:p w:rsidR="00751270" w:rsidRDefault="00751270">
        <w:pPr>
          <w:pStyle w:val="Footer"/>
        </w:pPr>
        <w:r>
          <w:fldChar w:fldCharType="begin"/>
        </w:r>
        <w:r>
          <w:instrText xml:space="preserve"> PAGE   \* MERGEFORMAT </w:instrText>
        </w:r>
        <w:r>
          <w:fldChar w:fldCharType="separate"/>
        </w:r>
        <w:r w:rsidR="006B4868">
          <w:rPr>
            <w:noProof/>
          </w:rPr>
          <w:t>1</w:t>
        </w:r>
        <w:r>
          <w:rPr>
            <w:noProof/>
          </w:rPr>
          <w:fldChar w:fldCharType="end"/>
        </w:r>
      </w:p>
    </w:sdtContent>
  </w:sdt>
  <w:p w:rsidR="00751270" w:rsidRDefault="007512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270" w:rsidRDefault="007512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557" w:rsidRDefault="00FE5557" w:rsidP="00751270">
      <w:pPr>
        <w:spacing w:after="0" w:line="240" w:lineRule="auto"/>
      </w:pPr>
      <w:r>
        <w:separator/>
      </w:r>
    </w:p>
  </w:footnote>
  <w:footnote w:type="continuationSeparator" w:id="0">
    <w:p w:rsidR="00FE5557" w:rsidRDefault="00FE5557" w:rsidP="007512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270" w:rsidRDefault="007512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270" w:rsidRDefault="007512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270" w:rsidRDefault="007512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C3D98"/>
    <w:multiLevelType w:val="hybridMultilevel"/>
    <w:tmpl w:val="A8D45224"/>
    <w:lvl w:ilvl="0" w:tplc="0C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3059E"/>
    <w:multiLevelType w:val="hybridMultilevel"/>
    <w:tmpl w:val="4E463E02"/>
    <w:lvl w:ilvl="0" w:tplc="0C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E9B"/>
    <w:rsid w:val="000659D2"/>
    <w:rsid w:val="002311BD"/>
    <w:rsid w:val="00274EDA"/>
    <w:rsid w:val="006B4868"/>
    <w:rsid w:val="00751270"/>
    <w:rsid w:val="008E1E9B"/>
    <w:rsid w:val="00921203"/>
    <w:rsid w:val="00BC17E2"/>
    <w:rsid w:val="00CB3C5D"/>
    <w:rsid w:val="00CE0C73"/>
    <w:rsid w:val="00EF7C32"/>
    <w:rsid w:val="00FE55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D5711-3E85-42BD-803D-75AF4CB4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E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E9B"/>
    <w:pPr>
      <w:ind w:left="720"/>
      <w:contextualSpacing/>
    </w:pPr>
    <w:rPr>
      <w:rFonts w:eastAsiaTheme="minorEastAsia"/>
    </w:rPr>
  </w:style>
  <w:style w:type="table" w:styleId="TableGrid">
    <w:name w:val="Table Grid"/>
    <w:basedOn w:val="TableNormal"/>
    <w:uiPriority w:val="39"/>
    <w:rsid w:val="008E1E9B"/>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DefaultParagraphFont"/>
    <w:rsid w:val="00BC17E2"/>
  </w:style>
  <w:style w:type="character" w:customStyle="1" w:styleId="ref-journal">
    <w:name w:val="ref-journal"/>
    <w:basedOn w:val="DefaultParagraphFont"/>
    <w:rsid w:val="00BC17E2"/>
  </w:style>
  <w:style w:type="character" w:customStyle="1" w:styleId="ref-vol">
    <w:name w:val="ref-vol"/>
    <w:basedOn w:val="DefaultParagraphFont"/>
    <w:rsid w:val="00BC17E2"/>
  </w:style>
  <w:style w:type="character" w:styleId="Hyperlink">
    <w:name w:val="Hyperlink"/>
    <w:basedOn w:val="DefaultParagraphFont"/>
    <w:uiPriority w:val="99"/>
    <w:unhideWhenUsed/>
    <w:rsid w:val="00BC17E2"/>
    <w:rPr>
      <w:color w:val="0000FF"/>
      <w:u w:val="single"/>
    </w:rPr>
  </w:style>
  <w:style w:type="character" w:customStyle="1" w:styleId="exlresultdetails">
    <w:name w:val="exlresultdetails"/>
    <w:basedOn w:val="DefaultParagraphFont"/>
    <w:rsid w:val="00BC17E2"/>
  </w:style>
  <w:style w:type="character" w:customStyle="1" w:styleId="searchword">
    <w:name w:val="searchword"/>
    <w:basedOn w:val="DefaultParagraphFont"/>
    <w:rsid w:val="00BC17E2"/>
  </w:style>
  <w:style w:type="character" w:customStyle="1" w:styleId="author">
    <w:name w:val="author"/>
    <w:basedOn w:val="DefaultParagraphFont"/>
    <w:rsid w:val="00BC17E2"/>
  </w:style>
  <w:style w:type="character" w:customStyle="1" w:styleId="author-name">
    <w:name w:val="author-name"/>
    <w:basedOn w:val="DefaultParagraphFont"/>
    <w:rsid w:val="00BC17E2"/>
  </w:style>
  <w:style w:type="character" w:styleId="HTMLCite">
    <w:name w:val="HTML Cite"/>
    <w:basedOn w:val="DefaultParagraphFont"/>
    <w:uiPriority w:val="99"/>
    <w:semiHidden/>
    <w:unhideWhenUsed/>
    <w:rsid w:val="00BC17E2"/>
    <w:rPr>
      <w:i/>
      <w:iCs/>
    </w:rPr>
  </w:style>
  <w:style w:type="paragraph" w:styleId="Header">
    <w:name w:val="header"/>
    <w:basedOn w:val="Normal"/>
    <w:link w:val="HeaderChar"/>
    <w:uiPriority w:val="99"/>
    <w:unhideWhenUsed/>
    <w:rsid w:val="00751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270"/>
  </w:style>
  <w:style w:type="paragraph" w:styleId="Footer">
    <w:name w:val="footer"/>
    <w:basedOn w:val="Normal"/>
    <w:link w:val="FooterChar"/>
    <w:uiPriority w:val="99"/>
    <w:unhideWhenUsed/>
    <w:rsid w:val="00751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Coombes%20BK%5BAuthor%5D&amp;cauthor=true&amp;cauthor_uid=24480912" TargetMode="External"/><Relationship Id="rId13" Type="http://schemas.openxmlformats.org/officeDocument/2006/relationships/hyperlink" Target="http://www.ncbi.nlm.nih.gov/pubmed/?term=Smidt%20N%5BAuthor%5D&amp;cauthor=true&amp;cauthor_uid=12161838" TargetMode="External"/><Relationship Id="rId18" Type="http://schemas.openxmlformats.org/officeDocument/2006/relationships/hyperlink" Target="http://www.ncbi.nlm.nih.gov/pubmed/?term=de%20Winter%20AF%5BAuthor%5D&amp;cauthor=true&amp;cauthor_uid=12161838" TargetMode="External"/><Relationship Id="rId26" Type="http://schemas.openxmlformats.org/officeDocument/2006/relationships/hyperlink" Target="http://www.ncbi.nlm.nih.gov/pubmed/?term=Collins%20D%5BAuthor%5D&amp;cauthor=true&amp;cauthor_uid=9777544" TargetMode="External"/><Relationship Id="rId3" Type="http://schemas.openxmlformats.org/officeDocument/2006/relationships/settings" Target="settings.xml"/><Relationship Id="rId21" Type="http://schemas.openxmlformats.org/officeDocument/2006/relationships/hyperlink" Target="http://www.ncbi.nlm.nih.gov/pubmed/?term=Vicenzino%20B%5BAuthor%5D&amp;cauthor=true&amp;cauthor_uid=9777544" TargetMode="External"/><Relationship Id="rId34" Type="http://schemas.openxmlformats.org/officeDocument/2006/relationships/footer" Target="footer2.xml"/><Relationship Id="rId7" Type="http://schemas.openxmlformats.org/officeDocument/2006/relationships/hyperlink" Target="http://www.ncbi.nlm.nih.gov/pubmed/?term=Coombes%20BK%5BAuthor%5D&amp;cauthor=true&amp;cauthor_uid=24480912" TargetMode="External"/><Relationship Id="rId12" Type="http://schemas.openxmlformats.org/officeDocument/2006/relationships/hyperlink" Target="http://dx.doi.org/10.1080/1091367X.2013.805139" TargetMode="External"/><Relationship Id="rId17" Type="http://schemas.openxmlformats.org/officeDocument/2006/relationships/hyperlink" Target="http://www.ncbi.nlm.nih.gov/pubmed/?term=Devill%C3%A9%20WL%5BAuthor%5D&amp;cauthor=true&amp;cauthor_uid=12161838" TargetMode="External"/><Relationship Id="rId25" Type="http://schemas.openxmlformats.org/officeDocument/2006/relationships/hyperlink" Target="http://www.ncbi.nlm.nih.gov/pubmed/?term=Vicenzino%20B%5BAuthor%5D&amp;cauthor=true&amp;cauthor_uid=9777544"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cbi.nlm.nih.gov/pubmed/?term=Mourits%20AJ%5BAuthor%5D&amp;cauthor=true&amp;cauthor_uid=12161838" TargetMode="External"/><Relationship Id="rId20" Type="http://schemas.openxmlformats.org/officeDocument/2006/relationships/hyperlink" Target="http://www.sciencedirect.com/science/journal/00039993/83/8" TargetMode="External"/><Relationship Id="rId29" Type="http://schemas.openxmlformats.org/officeDocument/2006/relationships/hyperlink" Target="http://www.sciencedirect.com/science/journal/18778860/9/supp/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Vicenzino%20B%5BAuthor%5D&amp;cauthor=true&amp;cauthor_uid=24480912" TargetMode="External"/><Relationship Id="rId24" Type="http://schemas.openxmlformats.org/officeDocument/2006/relationships/hyperlink" Target="http://www.ncbi.nlm.nih.gov/pubmed/?term=Wright%20A%5BAuthor%5D&amp;cauthor=true&amp;cauthor_uid=9777544"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cbi.nlm.nih.gov/pubmed/?term=Assendelft%20WJ%5BAuthor%5D&amp;cauthor=true&amp;cauthor_uid=12161838" TargetMode="External"/><Relationship Id="rId23" Type="http://schemas.openxmlformats.org/officeDocument/2006/relationships/hyperlink" Target="http://www.ncbi.nlm.nih.gov/pubmed/?term=Benson%20H%5BAuthor%5D&amp;cauthor=true&amp;cauthor_uid=9777544" TargetMode="External"/><Relationship Id="rId28" Type="http://schemas.openxmlformats.org/officeDocument/2006/relationships/hyperlink" Target="http://www.sciencedirect.com/science/journal/18778860" TargetMode="External"/><Relationship Id="rId36" Type="http://schemas.openxmlformats.org/officeDocument/2006/relationships/footer" Target="footer3.xml"/><Relationship Id="rId10" Type="http://schemas.openxmlformats.org/officeDocument/2006/relationships/hyperlink" Target="http://www.ncbi.nlm.nih.gov/pubmed/?term=Bisset%20L%5BAuthor%5D&amp;cauthor=true&amp;cauthor_uid=24480912" TargetMode="External"/><Relationship Id="rId19" Type="http://schemas.openxmlformats.org/officeDocument/2006/relationships/hyperlink" Target="http://www.ncbi.nlm.nih.gov/pubmed/?term=Bouter%20LM%5BAuthor%5D&amp;cauthor=true&amp;cauthor_uid=12161838"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cbi.nlm.nih.gov/pubmed/?term=Coombes%20BK%5BAuthor%5D&amp;cauthor=true&amp;cauthor_uid=24480912" TargetMode="External"/><Relationship Id="rId14" Type="http://schemas.openxmlformats.org/officeDocument/2006/relationships/hyperlink" Target="http://www.ncbi.nlm.nih.gov/pubmed/?term=van%20der%20Windt%20DA%5BAuthor%5D&amp;cauthor=true&amp;cauthor_uid=12161838" TargetMode="External"/><Relationship Id="rId22" Type="http://schemas.openxmlformats.org/officeDocument/2006/relationships/hyperlink" Target="http://www.ncbi.nlm.nih.gov/pubmed/?term=Collins%20D%5BAuthor%5D&amp;cauthor=true&amp;cauthor_uid=9777544" TargetMode="External"/><Relationship Id="rId27" Type="http://schemas.openxmlformats.org/officeDocument/2006/relationships/hyperlink" Target="http://www.ncbi.nlm.nih.gov/pubmed/?term=Wright%20A%5BAuthor%5D&amp;cauthor=true&amp;cauthor_uid=9777544" TargetMode="External"/><Relationship Id="rId30" Type="http://schemas.openxmlformats.org/officeDocument/2006/relationships/hyperlink" Target="http://www.sciencedirect.com/science/article/pii/S0004951414604657"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3111</Words>
  <Characters>17734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muhsen</dc:creator>
  <cp:keywords/>
  <dc:description/>
  <cp:lastModifiedBy>Ahmad Abdel Rahman Mohammad Muhsen</cp:lastModifiedBy>
  <cp:revision>2</cp:revision>
  <dcterms:created xsi:type="dcterms:W3CDTF">2017-02-07T06:01:00Z</dcterms:created>
  <dcterms:modified xsi:type="dcterms:W3CDTF">2017-02-07T06:01:00Z</dcterms:modified>
</cp:coreProperties>
</file>