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CE705" w14:textId="77777777" w:rsidR="003D5AD3" w:rsidRPr="003D5AD3" w:rsidRDefault="003D5AD3" w:rsidP="00D21EFC">
      <w:pPr>
        <w:rPr>
          <w:rFonts w:ascii="Calibri" w:hAnsi="Calibri"/>
          <w:b/>
          <w:sz w:val="22"/>
          <w:szCs w:val="22"/>
        </w:rPr>
      </w:pPr>
    </w:p>
    <w:p w14:paraId="162B0EC8" w14:textId="59DB9220" w:rsidR="00D21EFC" w:rsidRPr="003D5AD3" w:rsidRDefault="00D21EFC" w:rsidP="00D21EFC">
      <w:pPr>
        <w:rPr>
          <w:rFonts w:ascii="Calibri" w:hAnsi="Calibri"/>
          <w:sz w:val="22"/>
          <w:szCs w:val="22"/>
        </w:rPr>
      </w:pPr>
      <w:r w:rsidRPr="003D5AD3">
        <w:rPr>
          <w:rFonts w:ascii="Calibri" w:hAnsi="Calibri"/>
          <w:b/>
          <w:sz w:val="22"/>
          <w:szCs w:val="22"/>
        </w:rPr>
        <w:t>RESEARCH PROPOSAL SUMMARY DOCUMENT:</w:t>
      </w:r>
      <w:r w:rsidR="00885FEE">
        <w:rPr>
          <w:rFonts w:ascii="Calibri" w:hAnsi="Calibri"/>
          <w:sz w:val="22"/>
          <w:szCs w:val="22"/>
        </w:rPr>
        <w:t xml:space="preserve"> Version 2.2</w:t>
      </w:r>
    </w:p>
    <w:p w14:paraId="468D956F" w14:textId="2A38A7D6" w:rsidR="00D21EFC" w:rsidRPr="001A4980" w:rsidRDefault="00D21EFC" w:rsidP="001A4980">
      <w:pPr>
        <w:pStyle w:val="Heading1"/>
        <w:rPr>
          <w:color w:val="auto"/>
          <w:sz w:val="22"/>
          <w:szCs w:val="22"/>
        </w:rPr>
      </w:pPr>
      <w:r w:rsidRPr="001A4980">
        <w:rPr>
          <w:rStyle w:val="ORIQLHeading2Char"/>
          <w:b/>
          <w:color w:val="auto"/>
        </w:rPr>
        <w:t>STUDY TITLE:</w:t>
      </w:r>
      <w:r w:rsidRPr="001A4980">
        <w:rPr>
          <w:color w:val="auto"/>
          <w:sz w:val="22"/>
          <w:szCs w:val="22"/>
        </w:rPr>
        <w:t xml:space="preserve">  </w:t>
      </w:r>
      <w:r w:rsidR="001A4980">
        <w:rPr>
          <w:color w:val="auto"/>
          <w:sz w:val="22"/>
          <w:szCs w:val="22"/>
        </w:rPr>
        <w:br/>
      </w:r>
      <w:r w:rsidRPr="001A4980">
        <w:rPr>
          <w:b w:val="0"/>
          <w:color w:val="auto"/>
          <w:sz w:val="22"/>
          <w:szCs w:val="22"/>
        </w:rPr>
        <w:t xml:space="preserve">Navigated medial opening wedge high </w:t>
      </w:r>
      <w:proofErr w:type="spellStart"/>
      <w:r w:rsidRPr="001A4980">
        <w:rPr>
          <w:b w:val="0"/>
          <w:color w:val="auto"/>
          <w:sz w:val="22"/>
          <w:szCs w:val="22"/>
        </w:rPr>
        <w:t>tibial</w:t>
      </w:r>
      <w:proofErr w:type="spellEnd"/>
      <w:r w:rsidRPr="001A4980">
        <w:rPr>
          <w:b w:val="0"/>
          <w:color w:val="auto"/>
          <w:sz w:val="22"/>
          <w:szCs w:val="22"/>
        </w:rPr>
        <w:t xml:space="preserve"> osteotomy versus navigated lateral closing wedge high </w:t>
      </w:r>
      <w:proofErr w:type="spellStart"/>
      <w:r w:rsidRPr="001A4980">
        <w:rPr>
          <w:b w:val="0"/>
          <w:color w:val="auto"/>
          <w:sz w:val="22"/>
          <w:szCs w:val="22"/>
        </w:rPr>
        <w:t>tibial</w:t>
      </w:r>
      <w:proofErr w:type="spellEnd"/>
      <w:r w:rsidRPr="001A4980">
        <w:rPr>
          <w:b w:val="0"/>
          <w:color w:val="auto"/>
          <w:sz w:val="22"/>
          <w:szCs w:val="22"/>
        </w:rPr>
        <w:t xml:space="preserve"> osteotomy: A randomised control</w:t>
      </w:r>
      <w:r w:rsidR="00AD7640" w:rsidRPr="001A4980">
        <w:rPr>
          <w:b w:val="0"/>
          <w:color w:val="auto"/>
          <w:sz w:val="22"/>
          <w:szCs w:val="22"/>
        </w:rPr>
        <w:t>led</w:t>
      </w:r>
      <w:r w:rsidRPr="001A4980">
        <w:rPr>
          <w:b w:val="0"/>
          <w:color w:val="auto"/>
          <w:sz w:val="22"/>
          <w:szCs w:val="22"/>
        </w:rPr>
        <w:t xml:space="preserve"> trial</w:t>
      </w:r>
    </w:p>
    <w:p w14:paraId="41940375" w14:textId="77777777" w:rsidR="001A4980" w:rsidRDefault="001A4980" w:rsidP="00D21EFC">
      <w:pPr>
        <w:jc w:val="both"/>
        <w:rPr>
          <w:rFonts w:ascii="Calibri" w:hAnsi="Calibri"/>
          <w:b/>
          <w:color w:val="000000"/>
          <w:sz w:val="22"/>
          <w:szCs w:val="22"/>
        </w:rPr>
      </w:pPr>
    </w:p>
    <w:p w14:paraId="40AAA6D4"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ABBREVIATED TITLE</w:t>
      </w:r>
    </w:p>
    <w:p w14:paraId="6DCEF53F" w14:textId="77777777" w:rsidR="00D21EFC" w:rsidRPr="003D5AD3" w:rsidRDefault="00D21EFC" w:rsidP="00D21EFC">
      <w:pPr>
        <w:spacing w:after="200"/>
        <w:jc w:val="both"/>
        <w:rPr>
          <w:rFonts w:ascii="Calibri" w:hAnsi="Calibri" w:cs="Arial"/>
          <w:sz w:val="22"/>
          <w:szCs w:val="22"/>
        </w:rPr>
      </w:pPr>
      <w:r w:rsidRPr="003D5AD3">
        <w:rPr>
          <w:rFonts w:ascii="Calibri" w:hAnsi="Calibri" w:cs="Arial"/>
          <w:sz w:val="22"/>
          <w:szCs w:val="22"/>
        </w:rPr>
        <w:t>Navigated HTO MO vs LC</w:t>
      </w:r>
    </w:p>
    <w:p w14:paraId="5C08C221" w14:textId="1C55AC5F" w:rsidR="00AD7640" w:rsidRPr="001A4980" w:rsidRDefault="00D21EFC" w:rsidP="001A4980">
      <w:pPr>
        <w:pStyle w:val="ORIQLHeading2"/>
      </w:pPr>
      <w:r w:rsidRPr="001A4980">
        <w:t>PROJECT SUMMARY</w:t>
      </w:r>
    </w:p>
    <w:p w14:paraId="5DE8C9C1" w14:textId="4774C793" w:rsidR="007241AC" w:rsidRPr="007241AC" w:rsidRDefault="007241AC" w:rsidP="007241AC">
      <w:pPr>
        <w:jc w:val="both"/>
        <w:rPr>
          <w:rFonts w:ascii="Calibri" w:hAnsi="Calibri"/>
          <w:sz w:val="22"/>
          <w:szCs w:val="22"/>
        </w:rPr>
      </w:pPr>
      <w:r w:rsidRPr="007241AC">
        <w:rPr>
          <w:rFonts w:ascii="Calibri" w:hAnsi="Calibri"/>
          <w:sz w:val="22"/>
          <w:szCs w:val="22"/>
        </w:rPr>
        <w:t xml:space="preserve">In patients with symptomatic medial compartment (inner side) knee osteoarthritis (OA) and associated genu </w:t>
      </w:r>
      <w:proofErr w:type="spellStart"/>
      <w:r w:rsidRPr="007241AC">
        <w:rPr>
          <w:rFonts w:ascii="Calibri" w:hAnsi="Calibri"/>
          <w:sz w:val="22"/>
          <w:szCs w:val="22"/>
        </w:rPr>
        <w:t>varum</w:t>
      </w:r>
      <w:proofErr w:type="spellEnd"/>
      <w:r w:rsidRPr="007241AC">
        <w:rPr>
          <w:rFonts w:ascii="Calibri" w:hAnsi="Calibri"/>
          <w:sz w:val="22"/>
          <w:szCs w:val="22"/>
        </w:rPr>
        <w:t xml:space="preserve"> (bowing of the lower limb) performing a high </w:t>
      </w:r>
      <w:proofErr w:type="spellStart"/>
      <w:r w:rsidRPr="007241AC">
        <w:rPr>
          <w:rFonts w:ascii="Calibri" w:hAnsi="Calibri"/>
          <w:sz w:val="22"/>
          <w:szCs w:val="22"/>
        </w:rPr>
        <w:t>tibial</w:t>
      </w:r>
      <w:proofErr w:type="spellEnd"/>
      <w:r w:rsidRPr="007241AC">
        <w:rPr>
          <w:rFonts w:ascii="Calibri" w:hAnsi="Calibri"/>
          <w:sz w:val="22"/>
          <w:szCs w:val="22"/>
        </w:rPr>
        <w:t xml:space="preserve"> osteotomy (HTO) can provide pain relief by changing the shape of </w:t>
      </w:r>
      <w:r>
        <w:rPr>
          <w:rFonts w:ascii="Calibri" w:hAnsi="Calibri"/>
          <w:sz w:val="22"/>
          <w:szCs w:val="22"/>
        </w:rPr>
        <w:t>the limb. The shape changes the</w:t>
      </w:r>
      <w:r w:rsidRPr="007241AC">
        <w:rPr>
          <w:rFonts w:ascii="Calibri" w:hAnsi="Calibri"/>
          <w:sz w:val="22"/>
          <w:szCs w:val="22"/>
        </w:rPr>
        <w:t xml:space="preserve"> point at which compressi</w:t>
      </w:r>
      <w:r>
        <w:rPr>
          <w:rFonts w:ascii="Calibri" w:hAnsi="Calibri"/>
          <w:sz w:val="22"/>
          <w:szCs w:val="22"/>
        </w:rPr>
        <w:t xml:space="preserve">ve load crosses the knee. This </w:t>
      </w:r>
      <w:r w:rsidRPr="007241AC">
        <w:rPr>
          <w:rFonts w:ascii="Calibri" w:hAnsi="Calibri"/>
          <w:sz w:val="22"/>
          <w:szCs w:val="22"/>
        </w:rPr>
        <w:t>unloads the painful arthritic side of the knee and transfer load to the undamaged lateral compartment (outside)</w:t>
      </w:r>
      <w:r w:rsidR="002F166C">
        <w:rPr>
          <w:rFonts w:ascii="Calibri" w:hAnsi="Calibri"/>
          <w:sz w:val="22"/>
          <w:szCs w:val="22"/>
        </w:rPr>
        <w:t xml:space="preserve"> </w:t>
      </w:r>
      <w:r w:rsidRPr="007241AC">
        <w:rPr>
          <w:rFonts w:ascii="Calibri" w:hAnsi="Calibri"/>
          <w:sz w:val="22"/>
          <w:szCs w:val="22"/>
        </w:rPr>
        <w:t>of the knee. There are two widely used HTO techniques. These are the medial opening wedge (MO) and the lateral closing wedge (LC) HTO.  Intra-operative computer navigation can increase the accuracy and precision of the intended correction but has not been used for the LC technique.</w:t>
      </w:r>
    </w:p>
    <w:p w14:paraId="4690D598" w14:textId="77777777" w:rsidR="007241AC" w:rsidRPr="007241AC" w:rsidRDefault="007241AC" w:rsidP="007241AC">
      <w:pPr>
        <w:jc w:val="both"/>
        <w:rPr>
          <w:rFonts w:ascii="Calibri" w:hAnsi="Calibri"/>
          <w:sz w:val="22"/>
          <w:szCs w:val="22"/>
        </w:rPr>
      </w:pPr>
    </w:p>
    <w:p w14:paraId="3D5EF1F3" w14:textId="704308CF" w:rsidR="007241AC" w:rsidRPr="007241AC" w:rsidRDefault="007241AC" w:rsidP="007241AC">
      <w:pPr>
        <w:jc w:val="both"/>
        <w:rPr>
          <w:rFonts w:ascii="Calibri" w:hAnsi="Calibri"/>
          <w:sz w:val="22"/>
          <w:szCs w:val="22"/>
        </w:rPr>
      </w:pPr>
      <w:r w:rsidRPr="007241AC">
        <w:rPr>
          <w:rFonts w:ascii="Calibri" w:hAnsi="Calibri"/>
          <w:sz w:val="22"/>
          <w:szCs w:val="22"/>
        </w:rPr>
        <w:t>It is unclear in the literature, which approach yields the highest patient satisfaction as very few studies have been done that compare the two techniques. Additionally, there are even fewer studies that have examined the changes to gait mechanics that take effect as a result of the described procedures. To detect a difference between the two procedures, patients will undergo pre-operative and post-operative radiographic (x-ray) and functional joint assessments.  In addition, investigators will assess changes to th</w:t>
      </w:r>
      <w:r>
        <w:rPr>
          <w:rFonts w:ascii="Calibri" w:hAnsi="Calibri"/>
          <w:sz w:val="22"/>
          <w:szCs w:val="22"/>
        </w:rPr>
        <w:t xml:space="preserve">e patients' gait by performing </w:t>
      </w:r>
      <w:r w:rsidRPr="007241AC">
        <w:rPr>
          <w:rFonts w:ascii="Calibri" w:hAnsi="Calibri"/>
          <w:sz w:val="22"/>
          <w:szCs w:val="22"/>
        </w:rPr>
        <w:t xml:space="preserve">analysis at a Gait Laboratory.   </w:t>
      </w:r>
    </w:p>
    <w:p w14:paraId="7E74C6EC" w14:textId="77777777" w:rsidR="007241AC" w:rsidRPr="007241AC" w:rsidRDefault="007241AC" w:rsidP="007241AC">
      <w:pPr>
        <w:jc w:val="both"/>
        <w:rPr>
          <w:rFonts w:ascii="Calibri" w:hAnsi="Calibri"/>
          <w:sz w:val="22"/>
          <w:szCs w:val="22"/>
        </w:rPr>
      </w:pPr>
    </w:p>
    <w:p w14:paraId="61004F28" w14:textId="77777777" w:rsidR="007241AC" w:rsidRPr="007241AC" w:rsidRDefault="007241AC" w:rsidP="007241AC">
      <w:pPr>
        <w:jc w:val="both"/>
        <w:rPr>
          <w:rFonts w:ascii="Calibri" w:hAnsi="Calibri"/>
          <w:sz w:val="22"/>
          <w:szCs w:val="22"/>
        </w:rPr>
      </w:pPr>
      <w:r w:rsidRPr="007241AC">
        <w:rPr>
          <w:rFonts w:ascii="Calibri" w:hAnsi="Calibri"/>
          <w:sz w:val="22"/>
          <w:szCs w:val="22"/>
        </w:rPr>
        <w:t>Aims and Outcomes:</w:t>
      </w:r>
    </w:p>
    <w:p w14:paraId="63E9A24C" w14:textId="77777777" w:rsidR="007241AC" w:rsidRPr="007241AC" w:rsidRDefault="007241AC" w:rsidP="007241AC">
      <w:pPr>
        <w:jc w:val="both"/>
        <w:rPr>
          <w:rFonts w:ascii="Calibri" w:hAnsi="Calibri"/>
          <w:sz w:val="22"/>
          <w:szCs w:val="22"/>
        </w:rPr>
      </w:pPr>
      <w:r w:rsidRPr="007241AC">
        <w:rPr>
          <w:rFonts w:ascii="Calibri" w:hAnsi="Calibri"/>
          <w:sz w:val="22"/>
          <w:szCs w:val="22"/>
        </w:rPr>
        <w:t>1) The primary aim of this study is to analyse if the same correction made by the two above-mentioned techniques (MO wedge HTO and LC wedge HTO) produce the same change to gait mechanics.</w:t>
      </w:r>
    </w:p>
    <w:p w14:paraId="1504259D" w14:textId="661939A7" w:rsidR="007241AC" w:rsidRPr="007241AC" w:rsidRDefault="007241AC" w:rsidP="007241AC">
      <w:pPr>
        <w:jc w:val="both"/>
        <w:rPr>
          <w:rFonts w:ascii="Calibri" w:hAnsi="Calibri"/>
          <w:sz w:val="22"/>
          <w:szCs w:val="22"/>
        </w:rPr>
      </w:pPr>
      <w:r w:rsidRPr="007241AC">
        <w:rPr>
          <w:rFonts w:ascii="Calibri" w:hAnsi="Calibri"/>
          <w:sz w:val="22"/>
          <w:szCs w:val="22"/>
        </w:rPr>
        <w:t xml:space="preserve">2) The secondary aim will include comparisons between groups for time to union, time to weight bear, </w:t>
      </w:r>
      <w:proofErr w:type="spellStart"/>
      <w:r w:rsidRPr="007241AC">
        <w:rPr>
          <w:rFonts w:ascii="Calibri" w:hAnsi="Calibri"/>
          <w:sz w:val="22"/>
          <w:szCs w:val="22"/>
        </w:rPr>
        <w:t>cosmesis</w:t>
      </w:r>
      <w:proofErr w:type="spellEnd"/>
      <w:r w:rsidRPr="007241AC">
        <w:rPr>
          <w:rFonts w:ascii="Calibri" w:hAnsi="Calibri"/>
          <w:sz w:val="22"/>
          <w:szCs w:val="22"/>
        </w:rPr>
        <w:t xml:space="preserve"> (scar size), change to standing coronal hip knee angle, range of motion, change in patellar </w:t>
      </w:r>
      <w:r w:rsidR="002F166C">
        <w:rPr>
          <w:rFonts w:ascii="Calibri" w:hAnsi="Calibri"/>
          <w:sz w:val="22"/>
          <w:szCs w:val="22"/>
        </w:rPr>
        <w:t xml:space="preserve">(knee cap) </w:t>
      </w:r>
      <w:r w:rsidRPr="007241AC">
        <w:rPr>
          <w:rFonts w:ascii="Calibri" w:hAnsi="Calibri"/>
          <w:sz w:val="22"/>
          <w:szCs w:val="22"/>
        </w:rPr>
        <w:t xml:space="preserve">height and change in </w:t>
      </w:r>
      <w:proofErr w:type="spellStart"/>
      <w:r w:rsidRPr="007241AC">
        <w:rPr>
          <w:rFonts w:ascii="Calibri" w:hAnsi="Calibri"/>
          <w:sz w:val="22"/>
          <w:szCs w:val="22"/>
        </w:rPr>
        <w:t>tibial</w:t>
      </w:r>
      <w:proofErr w:type="spellEnd"/>
      <w:r w:rsidRPr="007241AC">
        <w:rPr>
          <w:rFonts w:ascii="Calibri" w:hAnsi="Calibri"/>
          <w:sz w:val="22"/>
          <w:szCs w:val="22"/>
        </w:rPr>
        <w:t xml:space="preserve"> slope. Investigators will record patient reported outcome measures (PROMs) to assess subjective functional outcome of the procedures.</w:t>
      </w:r>
    </w:p>
    <w:p w14:paraId="5B23B001" w14:textId="77777777" w:rsidR="007241AC" w:rsidRPr="007241AC" w:rsidRDefault="007241AC" w:rsidP="007241AC">
      <w:pPr>
        <w:jc w:val="both"/>
        <w:rPr>
          <w:rFonts w:ascii="Calibri" w:hAnsi="Calibri"/>
          <w:sz w:val="22"/>
          <w:szCs w:val="22"/>
        </w:rPr>
      </w:pPr>
    </w:p>
    <w:p w14:paraId="03240A82" w14:textId="77777777" w:rsidR="007241AC" w:rsidRPr="007241AC" w:rsidRDefault="007241AC" w:rsidP="007241AC">
      <w:pPr>
        <w:jc w:val="both"/>
        <w:rPr>
          <w:rFonts w:ascii="Calibri" w:hAnsi="Calibri"/>
          <w:sz w:val="22"/>
          <w:szCs w:val="22"/>
        </w:rPr>
      </w:pPr>
      <w:r w:rsidRPr="007241AC">
        <w:rPr>
          <w:rFonts w:ascii="Calibri" w:hAnsi="Calibri"/>
          <w:sz w:val="22"/>
          <w:szCs w:val="22"/>
        </w:rPr>
        <w:t>Research Design:</w:t>
      </w:r>
    </w:p>
    <w:p w14:paraId="18B3BF2C" w14:textId="77777777" w:rsidR="007241AC" w:rsidRPr="007241AC" w:rsidRDefault="007241AC" w:rsidP="007241AC">
      <w:pPr>
        <w:jc w:val="both"/>
        <w:rPr>
          <w:rFonts w:ascii="Calibri" w:hAnsi="Calibri"/>
          <w:sz w:val="22"/>
          <w:szCs w:val="22"/>
        </w:rPr>
      </w:pPr>
      <w:r w:rsidRPr="007241AC">
        <w:rPr>
          <w:rFonts w:ascii="Calibri" w:hAnsi="Calibri"/>
          <w:sz w:val="22"/>
          <w:szCs w:val="22"/>
        </w:rPr>
        <w:t>The design of this project is a single centre, multi-surgeon, prospective, randomized controlled trial. (Evidence Level: II)</w:t>
      </w:r>
    </w:p>
    <w:p w14:paraId="42B9B954" w14:textId="77777777" w:rsidR="007241AC" w:rsidRPr="007241AC" w:rsidRDefault="007241AC" w:rsidP="007241AC">
      <w:pPr>
        <w:jc w:val="both"/>
        <w:rPr>
          <w:rFonts w:ascii="Calibri" w:hAnsi="Calibri"/>
          <w:sz w:val="22"/>
          <w:szCs w:val="22"/>
        </w:rPr>
      </w:pPr>
    </w:p>
    <w:p w14:paraId="6A079ACA" w14:textId="77777777" w:rsidR="007241AC" w:rsidRPr="007241AC" w:rsidRDefault="007241AC" w:rsidP="007241AC">
      <w:pPr>
        <w:jc w:val="both"/>
        <w:rPr>
          <w:rFonts w:ascii="Calibri" w:hAnsi="Calibri"/>
          <w:sz w:val="22"/>
          <w:szCs w:val="22"/>
        </w:rPr>
      </w:pPr>
      <w:r w:rsidRPr="007241AC">
        <w:rPr>
          <w:rFonts w:ascii="Calibri" w:hAnsi="Calibri"/>
          <w:sz w:val="22"/>
          <w:szCs w:val="22"/>
        </w:rPr>
        <w:t>Materials and Methods:</w:t>
      </w:r>
    </w:p>
    <w:p w14:paraId="0FE05122" w14:textId="40CA17F7" w:rsidR="00DD2377" w:rsidRDefault="007241AC" w:rsidP="007241AC">
      <w:pPr>
        <w:jc w:val="both"/>
        <w:rPr>
          <w:rFonts w:ascii="Calibri" w:hAnsi="Calibri"/>
          <w:b/>
          <w:color w:val="000000"/>
          <w:sz w:val="22"/>
          <w:szCs w:val="22"/>
        </w:rPr>
      </w:pPr>
      <w:r w:rsidRPr="007241AC">
        <w:rPr>
          <w:rFonts w:ascii="Calibri" w:hAnsi="Calibri"/>
          <w:sz w:val="22"/>
          <w:szCs w:val="22"/>
        </w:rPr>
        <w:t>Patients planned to undergo a HTO procedure at the investigators' clinic who fit study inclusion criteria, may be approached to voluntarily participate in the study. Patients will be randomised to the MO wedge HTO group or LC wedge HTO group at time of consent. Alignment corrections associated with the procedure will be standardised to 3-5° of valgus. Patients will undergo assessments pre-operatively, and postoperatively for follow-up in clinic at six weeks, six months and yearly.</w:t>
      </w:r>
    </w:p>
    <w:p w14:paraId="24063DBE" w14:textId="77777777" w:rsidR="007241AC" w:rsidRDefault="007241AC" w:rsidP="00D21EFC">
      <w:pPr>
        <w:jc w:val="both"/>
        <w:rPr>
          <w:rFonts w:ascii="Calibri" w:hAnsi="Calibri"/>
          <w:b/>
          <w:color w:val="000000"/>
          <w:sz w:val="22"/>
          <w:szCs w:val="22"/>
        </w:rPr>
      </w:pPr>
    </w:p>
    <w:p w14:paraId="7ECE03D1"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lastRenderedPageBreak/>
        <w:t>STUDY IDENTIFICATION</w:t>
      </w:r>
    </w:p>
    <w:p w14:paraId="40755546"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Registered with ANZCTR (Australian and New Zealand Clinical Trials Registry)</w:t>
      </w:r>
    </w:p>
    <w:p w14:paraId="70552AEE"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Registered by Dr Peter McEwen</w:t>
      </w:r>
    </w:p>
    <w:p w14:paraId="0E5CD7C3" w14:textId="77777777" w:rsidR="00D21EFC" w:rsidRPr="003D5AD3" w:rsidRDefault="00D21EFC" w:rsidP="00D21EFC">
      <w:pPr>
        <w:jc w:val="both"/>
        <w:rPr>
          <w:rFonts w:ascii="Calibri" w:hAnsi="Calibri"/>
          <w:b/>
          <w:color w:val="000000"/>
          <w:sz w:val="22"/>
          <w:szCs w:val="22"/>
        </w:rPr>
      </w:pPr>
    </w:p>
    <w:p w14:paraId="1ACE0B84"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SPONSOR</w:t>
      </w:r>
    </w:p>
    <w:p w14:paraId="6D9C78DA"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ORIQL (Orthopaedic Research Institute of Queensland)</w:t>
      </w:r>
    </w:p>
    <w:p w14:paraId="26D5425A" w14:textId="77777777" w:rsidR="00D21EFC" w:rsidRPr="003D5AD3" w:rsidRDefault="00D21EFC" w:rsidP="00D21EFC">
      <w:pPr>
        <w:jc w:val="both"/>
        <w:rPr>
          <w:rFonts w:ascii="Calibri" w:hAnsi="Calibri"/>
          <w:color w:val="000000"/>
          <w:sz w:val="22"/>
          <w:szCs w:val="22"/>
        </w:rPr>
      </w:pPr>
    </w:p>
    <w:p w14:paraId="5E5F339C"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ADMINISTERING INSTITUTION</w:t>
      </w:r>
    </w:p>
    <w:p w14:paraId="054BDB5D"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ORIQL</w:t>
      </w:r>
    </w:p>
    <w:p w14:paraId="4A2B43A5"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Street Address: 7 Turner Street, Pimlico, QLD 4812</w:t>
      </w:r>
    </w:p>
    <w:p w14:paraId="78CEE801"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Telephone:  0413 685 331</w:t>
      </w:r>
    </w:p>
    <w:p w14:paraId="34A7711D"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 xml:space="preserve">Website:  </w:t>
      </w:r>
      <w:hyperlink r:id="rId9" w:history="1">
        <w:r w:rsidRPr="003D5AD3">
          <w:rPr>
            <w:rStyle w:val="Hyperlink"/>
            <w:rFonts w:ascii="Calibri" w:hAnsi="Calibri"/>
            <w:sz w:val="22"/>
            <w:szCs w:val="22"/>
          </w:rPr>
          <w:t>www.oriql.com.au</w:t>
        </w:r>
      </w:hyperlink>
    </w:p>
    <w:p w14:paraId="16AB3E07"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Email:  research_coordinator@oriql.com.au</w:t>
      </w:r>
    </w:p>
    <w:p w14:paraId="427759E0" w14:textId="77777777" w:rsidR="00D21EFC" w:rsidRPr="003D5AD3" w:rsidRDefault="00D21EFC" w:rsidP="00D21EFC">
      <w:pPr>
        <w:jc w:val="both"/>
        <w:rPr>
          <w:rFonts w:ascii="Calibri" w:hAnsi="Calibri"/>
          <w:b/>
          <w:color w:val="000000"/>
          <w:sz w:val="22"/>
          <w:szCs w:val="22"/>
        </w:rPr>
      </w:pPr>
    </w:p>
    <w:p w14:paraId="77BFBD37"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Investigators and Institutions</w:t>
      </w:r>
    </w:p>
    <w:p w14:paraId="11CAD4D4"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Dr Peter McEwen</w:t>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t>ORIQL, James Cook University</w:t>
      </w:r>
    </w:p>
    <w:p w14:paraId="2D53876F"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Dr Kenji Doma</w:t>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t>ORIQL, James Cook University</w:t>
      </w:r>
    </w:p>
    <w:p w14:paraId="787F6C90"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Dr Matthew Wilkinson</w:t>
      </w:r>
      <w:r w:rsidRPr="003D5AD3">
        <w:rPr>
          <w:rFonts w:ascii="Calibri" w:hAnsi="Calibri"/>
          <w:color w:val="000000"/>
          <w:sz w:val="22"/>
          <w:szCs w:val="22"/>
        </w:rPr>
        <w:tab/>
        <w:t xml:space="preserve">                </w:t>
      </w:r>
      <w:r w:rsidRPr="003D5AD3">
        <w:rPr>
          <w:rFonts w:ascii="Calibri" w:hAnsi="Calibri"/>
          <w:color w:val="000000"/>
          <w:sz w:val="22"/>
          <w:szCs w:val="22"/>
        </w:rPr>
        <w:tab/>
        <w:t>ORIQL</w:t>
      </w:r>
    </w:p>
    <w:p w14:paraId="4B74B5D7"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Dr Kaushik Hazratwala</w:t>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t>ORIQL, James Cook University</w:t>
      </w:r>
    </w:p>
    <w:p w14:paraId="5770D7BD"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Andrea Grant</w:t>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t>ORIQL</w:t>
      </w:r>
    </w:p>
    <w:p w14:paraId="2879B445" w14:textId="6BDF37A4" w:rsidR="00885FEE" w:rsidRPr="007241AC" w:rsidRDefault="00D21EFC">
      <w:pPr>
        <w:rPr>
          <w:rFonts w:ascii="Calibri" w:hAnsi="Calibri"/>
          <w:color w:val="000000"/>
          <w:sz w:val="22"/>
          <w:szCs w:val="22"/>
        </w:rPr>
      </w:pPr>
      <w:r w:rsidRPr="003D5AD3">
        <w:rPr>
          <w:rFonts w:ascii="Calibri" w:hAnsi="Calibri"/>
          <w:color w:val="000000"/>
          <w:sz w:val="22"/>
          <w:szCs w:val="22"/>
        </w:rPr>
        <w:t xml:space="preserve">Dr Ryan </w:t>
      </w:r>
      <w:proofErr w:type="spellStart"/>
      <w:r w:rsidRPr="003D5AD3">
        <w:rPr>
          <w:rFonts w:ascii="Calibri" w:hAnsi="Calibri"/>
          <w:color w:val="000000"/>
          <w:sz w:val="22"/>
          <w:szCs w:val="22"/>
        </w:rPr>
        <w:t>Faruque</w:t>
      </w:r>
      <w:proofErr w:type="spellEnd"/>
      <w:r w:rsidRPr="003D5AD3">
        <w:rPr>
          <w:rFonts w:ascii="Calibri" w:hAnsi="Calibri"/>
          <w:color w:val="000000"/>
          <w:sz w:val="22"/>
          <w:szCs w:val="22"/>
        </w:rPr>
        <w:tab/>
      </w:r>
      <w:r w:rsidRPr="003D5AD3">
        <w:rPr>
          <w:rFonts w:ascii="Calibri" w:hAnsi="Calibri"/>
          <w:color w:val="000000"/>
          <w:sz w:val="22"/>
          <w:szCs w:val="22"/>
        </w:rPr>
        <w:tab/>
      </w:r>
      <w:r w:rsidRPr="003D5AD3">
        <w:rPr>
          <w:rFonts w:ascii="Calibri" w:hAnsi="Calibri"/>
          <w:color w:val="000000"/>
          <w:sz w:val="22"/>
          <w:szCs w:val="22"/>
        </w:rPr>
        <w:tab/>
        <w:t>ORIQL</w:t>
      </w:r>
    </w:p>
    <w:p w14:paraId="38B8774E" w14:textId="6F1E696D" w:rsidR="00D21EFC" w:rsidRPr="003D5AD3" w:rsidRDefault="00D21EFC" w:rsidP="001A4980">
      <w:pPr>
        <w:pStyle w:val="ORIQLHeading2"/>
      </w:pPr>
      <w:r w:rsidRPr="003D5AD3">
        <w:t>GLOSSARY OF ABRREVIATIONS</w:t>
      </w:r>
      <w:r w:rsidR="00AD7640">
        <w:t xml:space="preserve"> AND TERMS</w:t>
      </w:r>
      <w:r w:rsidRPr="003D5AD3">
        <w:t>:</w:t>
      </w:r>
    </w:p>
    <w:p w14:paraId="41BF2E6F" w14:textId="48883980" w:rsidR="00AD7640" w:rsidRDefault="00AD7640" w:rsidP="00D21EFC">
      <w:pPr>
        <w:rPr>
          <w:rFonts w:ascii="Calibri" w:hAnsi="Calibri"/>
          <w:color w:val="000000"/>
          <w:sz w:val="22"/>
          <w:szCs w:val="22"/>
        </w:rPr>
      </w:pPr>
      <w:r>
        <w:rPr>
          <w:rFonts w:ascii="Calibri" w:hAnsi="Calibri"/>
          <w:color w:val="000000"/>
          <w:sz w:val="22"/>
          <w:szCs w:val="22"/>
        </w:rPr>
        <w:t xml:space="preserve">ACL – Anterior </w:t>
      </w:r>
      <w:proofErr w:type="spellStart"/>
      <w:r>
        <w:rPr>
          <w:rFonts w:ascii="Calibri" w:hAnsi="Calibri"/>
          <w:color w:val="000000"/>
          <w:sz w:val="22"/>
          <w:szCs w:val="22"/>
        </w:rPr>
        <w:t>cruiciate</w:t>
      </w:r>
      <w:proofErr w:type="spellEnd"/>
      <w:r>
        <w:rPr>
          <w:rFonts w:ascii="Calibri" w:hAnsi="Calibri"/>
          <w:color w:val="000000"/>
          <w:sz w:val="22"/>
          <w:szCs w:val="22"/>
        </w:rPr>
        <w:t xml:space="preserve"> ligament</w:t>
      </w:r>
    </w:p>
    <w:p w14:paraId="17C5BBE3" w14:textId="77777777" w:rsidR="00D21EFC" w:rsidRDefault="00D21EFC" w:rsidP="00D21EFC">
      <w:pPr>
        <w:rPr>
          <w:rFonts w:ascii="Calibri" w:hAnsi="Calibri"/>
          <w:color w:val="000000"/>
          <w:sz w:val="22"/>
          <w:szCs w:val="22"/>
        </w:rPr>
      </w:pPr>
      <w:r w:rsidRPr="003D5AD3">
        <w:rPr>
          <w:rFonts w:ascii="Calibri" w:hAnsi="Calibri"/>
          <w:color w:val="000000"/>
          <w:sz w:val="22"/>
          <w:szCs w:val="22"/>
        </w:rPr>
        <w:t>BMI – Body mass index</w:t>
      </w:r>
    </w:p>
    <w:p w14:paraId="0DE4C76B" w14:textId="4B8632A8" w:rsidR="008836BF" w:rsidRDefault="008836BF" w:rsidP="00D21EFC">
      <w:pPr>
        <w:rPr>
          <w:rFonts w:ascii="Calibri" w:hAnsi="Calibri"/>
          <w:color w:val="000000"/>
          <w:sz w:val="22"/>
          <w:szCs w:val="22"/>
        </w:rPr>
      </w:pPr>
      <w:r>
        <w:rPr>
          <w:rFonts w:ascii="Calibri" w:hAnsi="Calibri"/>
          <w:color w:val="000000"/>
          <w:sz w:val="22"/>
          <w:szCs w:val="22"/>
        </w:rPr>
        <w:t xml:space="preserve">Coronal alignment – alignment that is in the anterior to posterior </w:t>
      </w:r>
      <w:r w:rsidR="005F6783">
        <w:rPr>
          <w:rFonts w:ascii="Calibri" w:hAnsi="Calibri"/>
          <w:color w:val="000000"/>
          <w:sz w:val="22"/>
          <w:szCs w:val="22"/>
        </w:rPr>
        <w:t>plane</w:t>
      </w:r>
    </w:p>
    <w:p w14:paraId="7F2E185E" w14:textId="24A89C0B" w:rsidR="005F6783" w:rsidRDefault="005F6783" w:rsidP="00D21EFC">
      <w:pPr>
        <w:rPr>
          <w:rFonts w:ascii="Calibri" w:hAnsi="Calibri"/>
          <w:color w:val="000000"/>
          <w:sz w:val="22"/>
          <w:szCs w:val="22"/>
        </w:rPr>
      </w:pPr>
      <w:r>
        <w:rPr>
          <w:rFonts w:ascii="Calibri" w:hAnsi="Calibri"/>
          <w:color w:val="000000"/>
          <w:sz w:val="22"/>
          <w:szCs w:val="22"/>
        </w:rPr>
        <w:t>Cortex (</w:t>
      </w:r>
      <w:r w:rsidRPr="005F6783">
        <w:rPr>
          <w:rFonts w:ascii="Calibri" w:hAnsi="Calibri"/>
          <w:i/>
          <w:color w:val="000000"/>
          <w:sz w:val="22"/>
          <w:szCs w:val="22"/>
        </w:rPr>
        <w:t>plural</w:t>
      </w:r>
      <w:r>
        <w:rPr>
          <w:rFonts w:ascii="Calibri" w:hAnsi="Calibri"/>
          <w:color w:val="000000"/>
          <w:sz w:val="22"/>
          <w:szCs w:val="22"/>
        </w:rPr>
        <w:t xml:space="preserve"> cortices) – the outer hard bone encasing the softer trabecular/spongy bone</w:t>
      </w:r>
    </w:p>
    <w:p w14:paraId="73772AC9" w14:textId="70366B3D" w:rsidR="005F6783" w:rsidRPr="003D5AD3" w:rsidRDefault="005F6783" w:rsidP="00D21EFC">
      <w:pPr>
        <w:rPr>
          <w:rFonts w:ascii="Calibri" w:hAnsi="Calibri"/>
          <w:color w:val="000000"/>
          <w:sz w:val="22"/>
          <w:szCs w:val="22"/>
        </w:rPr>
      </w:pPr>
      <w:r>
        <w:rPr>
          <w:rFonts w:ascii="Calibri" w:hAnsi="Calibri"/>
          <w:color w:val="000000"/>
          <w:sz w:val="22"/>
          <w:szCs w:val="22"/>
        </w:rPr>
        <w:t>Contralateral – opposite side</w:t>
      </w:r>
    </w:p>
    <w:p w14:paraId="1C16D2C7" w14:textId="77777777" w:rsidR="008836BF" w:rsidRDefault="008836BF" w:rsidP="008836BF">
      <w:pPr>
        <w:rPr>
          <w:rFonts w:ascii="Calibri" w:hAnsi="Calibri"/>
          <w:color w:val="000000"/>
          <w:sz w:val="22"/>
          <w:szCs w:val="22"/>
        </w:rPr>
      </w:pPr>
      <w:r>
        <w:rPr>
          <w:rFonts w:ascii="Calibri" w:hAnsi="Calibri"/>
          <w:color w:val="000000"/>
          <w:sz w:val="22"/>
          <w:szCs w:val="22"/>
        </w:rPr>
        <w:t>FFD – Fixed flexion deformity</w:t>
      </w:r>
    </w:p>
    <w:p w14:paraId="32A0D9CF" w14:textId="338B3177" w:rsidR="008836BF" w:rsidRPr="001A4980" w:rsidRDefault="008836BF" w:rsidP="008836BF">
      <w:pPr>
        <w:rPr>
          <w:rFonts w:ascii="Calibri" w:hAnsi="Calibri"/>
          <w:color w:val="000000"/>
          <w:sz w:val="22"/>
          <w:szCs w:val="22"/>
        </w:rPr>
      </w:pPr>
      <w:r>
        <w:rPr>
          <w:rFonts w:ascii="Calibri" w:hAnsi="Calibri"/>
          <w:color w:val="000000"/>
          <w:sz w:val="22"/>
          <w:szCs w:val="22"/>
        </w:rPr>
        <w:t>Fluoroscopy – x-ray</w:t>
      </w:r>
    </w:p>
    <w:p w14:paraId="17C5B10F" w14:textId="77777777" w:rsidR="00D21EFC" w:rsidRPr="003D5AD3" w:rsidRDefault="00D21EFC" w:rsidP="00D21EFC">
      <w:pPr>
        <w:rPr>
          <w:rFonts w:ascii="Calibri" w:hAnsi="Calibri"/>
          <w:color w:val="000000"/>
          <w:sz w:val="22"/>
          <w:szCs w:val="22"/>
        </w:rPr>
      </w:pPr>
      <w:r w:rsidRPr="003D5AD3">
        <w:rPr>
          <w:rFonts w:ascii="Calibri" w:hAnsi="Calibri"/>
          <w:color w:val="000000"/>
          <w:sz w:val="22"/>
          <w:szCs w:val="22"/>
        </w:rPr>
        <w:t>HKA – Hip knee ankle angle</w:t>
      </w:r>
    </w:p>
    <w:p w14:paraId="16264BC4" w14:textId="77777777" w:rsidR="00D21EFC" w:rsidRPr="003D5AD3" w:rsidRDefault="00D21EFC" w:rsidP="00D21EFC">
      <w:pPr>
        <w:rPr>
          <w:rFonts w:ascii="Calibri" w:hAnsi="Calibri"/>
          <w:color w:val="000000"/>
          <w:sz w:val="22"/>
          <w:szCs w:val="22"/>
        </w:rPr>
      </w:pPr>
      <w:r w:rsidRPr="003D5AD3">
        <w:rPr>
          <w:rFonts w:ascii="Calibri" w:hAnsi="Calibri"/>
          <w:color w:val="000000"/>
          <w:sz w:val="22"/>
          <w:szCs w:val="22"/>
        </w:rPr>
        <w:t xml:space="preserve">HTO – High </w:t>
      </w:r>
      <w:proofErr w:type="spellStart"/>
      <w:r w:rsidRPr="003D5AD3">
        <w:rPr>
          <w:rFonts w:ascii="Calibri" w:hAnsi="Calibri"/>
          <w:color w:val="000000"/>
          <w:sz w:val="22"/>
          <w:szCs w:val="22"/>
        </w:rPr>
        <w:t>tibial</w:t>
      </w:r>
      <w:proofErr w:type="spellEnd"/>
      <w:r w:rsidRPr="003D5AD3">
        <w:rPr>
          <w:rFonts w:ascii="Calibri" w:hAnsi="Calibri"/>
          <w:color w:val="000000"/>
          <w:sz w:val="22"/>
          <w:szCs w:val="22"/>
        </w:rPr>
        <w:t xml:space="preserve"> osteotomy</w:t>
      </w:r>
    </w:p>
    <w:p w14:paraId="595711AE" w14:textId="77777777" w:rsidR="00D21EFC" w:rsidRPr="003D5AD3" w:rsidRDefault="00D21EFC" w:rsidP="00D21EFC">
      <w:pPr>
        <w:rPr>
          <w:rFonts w:ascii="Calibri" w:hAnsi="Calibri"/>
          <w:color w:val="000000"/>
          <w:sz w:val="22"/>
          <w:szCs w:val="22"/>
        </w:rPr>
      </w:pPr>
      <w:r w:rsidRPr="003D5AD3">
        <w:rPr>
          <w:rFonts w:ascii="Calibri" w:hAnsi="Calibri"/>
          <w:color w:val="000000"/>
          <w:sz w:val="22"/>
          <w:szCs w:val="22"/>
        </w:rPr>
        <w:t>KOOS – Knee Injury and Osteoarthritis Outcome Score</w:t>
      </w:r>
    </w:p>
    <w:p w14:paraId="7C4E2343" w14:textId="77777777" w:rsidR="00D21EFC" w:rsidRPr="003D5AD3" w:rsidRDefault="00D21EFC" w:rsidP="00D21EFC">
      <w:pPr>
        <w:rPr>
          <w:rFonts w:ascii="Calibri" w:hAnsi="Calibri"/>
          <w:color w:val="000000"/>
          <w:sz w:val="22"/>
          <w:szCs w:val="22"/>
        </w:rPr>
      </w:pPr>
      <w:proofErr w:type="spellStart"/>
      <w:r w:rsidRPr="003D5AD3">
        <w:rPr>
          <w:rFonts w:ascii="Calibri" w:hAnsi="Calibri"/>
          <w:color w:val="000000"/>
          <w:sz w:val="22"/>
          <w:szCs w:val="22"/>
        </w:rPr>
        <w:t>mMPTA</w:t>
      </w:r>
      <w:proofErr w:type="spellEnd"/>
      <w:r w:rsidRPr="003D5AD3">
        <w:rPr>
          <w:rFonts w:ascii="Calibri" w:hAnsi="Calibri"/>
          <w:color w:val="000000"/>
          <w:sz w:val="22"/>
          <w:szCs w:val="22"/>
        </w:rPr>
        <w:t xml:space="preserve"> – Mechanical Medial Proximal Tibial Angle</w:t>
      </w:r>
    </w:p>
    <w:p w14:paraId="5CABC67C" w14:textId="77777777" w:rsidR="00D21EFC" w:rsidRPr="003D5AD3" w:rsidRDefault="00D21EFC" w:rsidP="00D21EFC">
      <w:pPr>
        <w:rPr>
          <w:rFonts w:ascii="Calibri" w:hAnsi="Calibri"/>
          <w:color w:val="000000"/>
          <w:sz w:val="22"/>
          <w:szCs w:val="22"/>
        </w:rPr>
      </w:pPr>
      <w:proofErr w:type="spellStart"/>
      <w:r w:rsidRPr="003D5AD3">
        <w:rPr>
          <w:rFonts w:ascii="Calibri" w:hAnsi="Calibri"/>
          <w:color w:val="000000"/>
          <w:sz w:val="22"/>
          <w:szCs w:val="22"/>
        </w:rPr>
        <w:t>mTFA</w:t>
      </w:r>
      <w:proofErr w:type="spellEnd"/>
      <w:r w:rsidRPr="003D5AD3">
        <w:rPr>
          <w:rFonts w:ascii="Calibri" w:hAnsi="Calibri"/>
          <w:color w:val="000000"/>
          <w:sz w:val="22"/>
          <w:szCs w:val="22"/>
        </w:rPr>
        <w:t xml:space="preserve"> – Medial Tibiofemoral Angle</w:t>
      </w:r>
    </w:p>
    <w:p w14:paraId="44EA7AB5" w14:textId="77777777" w:rsidR="00D21EFC" w:rsidRPr="003D5AD3" w:rsidRDefault="00D21EFC" w:rsidP="00D21EFC">
      <w:pPr>
        <w:rPr>
          <w:rFonts w:ascii="Calibri" w:hAnsi="Calibri"/>
          <w:color w:val="000000"/>
          <w:sz w:val="22"/>
          <w:szCs w:val="22"/>
        </w:rPr>
      </w:pPr>
      <w:r w:rsidRPr="003D5AD3">
        <w:rPr>
          <w:rFonts w:ascii="Calibri" w:hAnsi="Calibri"/>
          <w:color w:val="000000"/>
          <w:sz w:val="22"/>
          <w:szCs w:val="22"/>
        </w:rPr>
        <w:t>LC – Lateral closing</w:t>
      </w:r>
    </w:p>
    <w:p w14:paraId="72724EAA" w14:textId="3F9552F6" w:rsidR="00D21EFC" w:rsidRPr="003D5AD3" w:rsidRDefault="00AD7640" w:rsidP="00D21EFC">
      <w:pPr>
        <w:rPr>
          <w:rFonts w:ascii="Calibri" w:hAnsi="Calibri"/>
          <w:color w:val="000000"/>
          <w:sz w:val="22"/>
          <w:szCs w:val="22"/>
        </w:rPr>
      </w:pPr>
      <w:r>
        <w:rPr>
          <w:rFonts w:ascii="Calibri" w:hAnsi="Calibri"/>
          <w:color w:val="000000"/>
          <w:sz w:val="22"/>
          <w:szCs w:val="22"/>
        </w:rPr>
        <w:t>MW – Medial o</w:t>
      </w:r>
      <w:r w:rsidR="00D21EFC" w:rsidRPr="003D5AD3">
        <w:rPr>
          <w:rFonts w:ascii="Calibri" w:hAnsi="Calibri"/>
          <w:color w:val="000000"/>
          <w:sz w:val="22"/>
          <w:szCs w:val="22"/>
        </w:rPr>
        <w:t>pening</w:t>
      </w:r>
    </w:p>
    <w:p w14:paraId="2640B297" w14:textId="77777777" w:rsidR="00D21EFC" w:rsidRDefault="00D21EFC" w:rsidP="00D21EFC">
      <w:pPr>
        <w:rPr>
          <w:rFonts w:ascii="Calibri" w:hAnsi="Calibri"/>
          <w:color w:val="000000"/>
          <w:sz w:val="22"/>
          <w:szCs w:val="22"/>
        </w:rPr>
      </w:pPr>
      <w:proofErr w:type="spellStart"/>
      <w:r w:rsidRPr="003D5AD3">
        <w:rPr>
          <w:rFonts w:ascii="Calibri" w:hAnsi="Calibri"/>
          <w:color w:val="000000"/>
          <w:sz w:val="22"/>
          <w:szCs w:val="22"/>
        </w:rPr>
        <w:t>Nav</w:t>
      </w:r>
      <w:proofErr w:type="spellEnd"/>
      <w:r w:rsidRPr="003D5AD3">
        <w:rPr>
          <w:rFonts w:ascii="Calibri" w:hAnsi="Calibri"/>
          <w:color w:val="000000"/>
          <w:sz w:val="22"/>
          <w:szCs w:val="22"/>
        </w:rPr>
        <w:t xml:space="preserve"> – Navigated</w:t>
      </w:r>
    </w:p>
    <w:p w14:paraId="5A1A5F2B" w14:textId="158951E1" w:rsidR="005F6783" w:rsidRPr="003D5AD3" w:rsidRDefault="005F6783" w:rsidP="00D21EFC">
      <w:pPr>
        <w:rPr>
          <w:rFonts w:ascii="Calibri" w:hAnsi="Calibri"/>
          <w:color w:val="000000"/>
          <w:sz w:val="22"/>
          <w:szCs w:val="22"/>
        </w:rPr>
      </w:pPr>
      <w:r>
        <w:rPr>
          <w:rFonts w:ascii="Calibri" w:hAnsi="Calibri"/>
          <w:color w:val="000000"/>
          <w:sz w:val="22"/>
          <w:szCs w:val="22"/>
        </w:rPr>
        <w:t>Neurovascular – nerves and blood vessels</w:t>
      </w:r>
    </w:p>
    <w:p w14:paraId="1B1014D0" w14:textId="77777777" w:rsidR="00D21EFC" w:rsidRPr="003D5AD3" w:rsidRDefault="00D21EFC" w:rsidP="00D21EFC">
      <w:pPr>
        <w:rPr>
          <w:rFonts w:ascii="Calibri" w:hAnsi="Calibri"/>
          <w:color w:val="000000"/>
          <w:sz w:val="22"/>
          <w:szCs w:val="22"/>
        </w:rPr>
      </w:pPr>
      <w:r w:rsidRPr="003D5AD3">
        <w:rPr>
          <w:rFonts w:ascii="Calibri" w:hAnsi="Calibri"/>
          <w:color w:val="000000"/>
          <w:sz w:val="22"/>
          <w:szCs w:val="22"/>
        </w:rPr>
        <w:t>OA – Osteoarthritis</w:t>
      </w:r>
    </w:p>
    <w:p w14:paraId="52FB2DC1" w14:textId="77777777" w:rsidR="00D21EFC" w:rsidRDefault="00D21EFC" w:rsidP="00D21EFC">
      <w:pPr>
        <w:rPr>
          <w:rFonts w:ascii="Calibri" w:hAnsi="Calibri"/>
          <w:color w:val="000000"/>
          <w:sz w:val="22"/>
          <w:szCs w:val="22"/>
        </w:rPr>
      </w:pPr>
      <w:r w:rsidRPr="003D5AD3">
        <w:rPr>
          <w:rFonts w:ascii="Calibri" w:hAnsi="Calibri"/>
          <w:color w:val="000000"/>
          <w:sz w:val="22"/>
          <w:szCs w:val="22"/>
        </w:rPr>
        <w:t>OKS – Oxford Knee Score</w:t>
      </w:r>
    </w:p>
    <w:p w14:paraId="75B46414" w14:textId="0EA0F508" w:rsidR="008836BF" w:rsidRDefault="008836BF" w:rsidP="00D21EFC">
      <w:pPr>
        <w:rPr>
          <w:rFonts w:ascii="Calibri" w:hAnsi="Calibri"/>
          <w:color w:val="000000"/>
          <w:sz w:val="22"/>
          <w:szCs w:val="22"/>
        </w:rPr>
      </w:pPr>
      <w:r>
        <w:rPr>
          <w:rFonts w:ascii="Calibri" w:hAnsi="Calibri"/>
          <w:color w:val="000000"/>
          <w:sz w:val="22"/>
          <w:szCs w:val="22"/>
        </w:rPr>
        <w:t>Osteotomy – bone cut or resection</w:t>
      </w:r>
    </w:p>
    <w:p w14:paraId="1C3BA9D8" w14:textId="730DAE04" w:rsidR="00712A06" w:rsidRPr="003D5AD3" w:rsidRDefault="00712A06" w:rsidP="00D21EFC">
      <w:pPr>
        <w:rPr>
          <w:rFonts w:ascii="Calibri" w:hAnsi="Calibri"/>
          <w:color w:val="000000"/>
          <w:sz w:val="22"/>
          <w:szCs w:val="22"/>
        </w:rPr>
      </w:pPr>
      <w:r>
        <w:rPr>
          <w:rFonts w:ascii="Calibri" w:hAnsi="Calibri"/>
          <w:color w:val="000000"/>
          <w:sz w:val="22"/>
          <w:szCs w:val="22"/>
        </w:rPr>
        <w:t>Periosteum -  thin soft tissue covering the bone that contains bone producing cells</w:t>
      </w:r>
    </w:p>
    <w:p w14:paraId="091715D1" w14:textId="4F777ED8" w:rsidR="00D21EFC" w:rsidRPr="003D5AD3" w:rsidRDefault="00AD7640" w:rsidP="00D21EFC">
      <w:pPr>
        <w:rPr>
          <w:rFonts w:ascii="Calibri" w:hAnsi="Calibri"/>
          <w:color w:val="000000"/>
          <w:sz w:val="22"/>
          <w:szCs w:val="22"/>
        </w:rPr>
      </w:pPr>
      <w:r>
        <w:rPr>
          <w:rFonts w:ascii="Calibri" w:hAnsi="Calibri"/>
          <w:color w:val="000000"/>
          <w:sz w:val="22"/>
          <w:szCs w:val="22"/>
        </w:rPr>
        <w:t>PROM – Patient reported outcome m</w:t>
      </w:r>
      <w:r w:rsidR="00D21EFC" w:rsidRPr="003D5AD3">
        <w:rPr>
          <w:rFonts w:ascii="Calibri" w:hAnsi="Calibri"/>
          <w:color w:val="000000"/>
          <w:sz w:val="22"/>
          <w:szCs w:val="22"/>
        </w:rPr>
        <w:t>easure</w:t>
      </w:r>
    </w:p>
    <w:p w14:paraId="55AC9817" w14:textId="77777777" w:rsidR="00D21EFC" w:rsidRDefault="00D21EFC" w:rsidP="00D21EFC">
      <w:pPr>
        <w:rPr>
          <w:rFonts w:ascii="Calibri" w:hAnsi="Calibri"/>
          <w:color w:val="000000"/>
          <w:sz w:val="22"/>
          <w:szCs w:val="22"/>
        </w:rPr>
      </w:pPr>
      <w:r w:rsidRPr="003D5AD3">
        <w:rPr>
          <w:rFonts w:ascii="Calibri" w:hAnsi="Calibri"/>
          <w:color w:val="000000"/>
          <w:sz w:val="22"/>
          <w:szCs w:val="22"/>
        </w:rPr>
        <w:t>ROM – Range of Motion</w:t>
      </w:r>
    </w:p>
    <w:p w14:paraId="68730088" w14:textId="1EE83ED8" w:rsidR="007241AC" w:rsidRDefault="007241AC" w:rsidP="00D21EFC">
      <w:pPr>
        <w:rPr>
          <w:rFonts w:ascii="Calibri" w:hAnsi="Calibri"/>
          <w:color w:val="000000"/>
          <w:sz w:val="22"/>
          <w:szCs w:val="22"/>
        </w:rPr>
      </w:pPr>
      <w:r>
        <w:rPr>
          <w:rFonts w:ascii="Calibri" w:hAnsi="Calibri"/>
          <w:color w:val="000000"/>
          <w:sz w:val="22"/>
          <w:szCs w:val="22"/>
        </w:rPr>
        <w:t>Varus- Bowing of the knee</w:t>
      </w:r>
    </w:p>
    <w:p w14:paraId="69821CE2" w14:textId="77777777" w:rsidR="00D21EFC" w:rsidRPr="003D5AD3" w:rsidRDefault="00D21EFC" w:rsidP="001A4980">
      <w:pPr>
        <w:pStyle w:val="ORIQLHeading2"/>
      </w:pPr>
      <w:r w:rsidRPr="003D5AD3">
        <w:lastRenderedPageBreak/>
        <w:t>RATIONALE AND BACKGROUND INFORMATION</w:t>
      </w:r>
    </w:p>
    <w:p w14:paraId="3F9AEA63" w14:textId="71B9D120" w:rsidR="00D21EFC" w:rsidRPr="003D5AD3" w:rsidRDefault="00D21EFC" w:rsidP="00D21EFC">
      <w:pPr>
        <w:jc w:val="both"/>
        <w:rPr>
          <w:rFonts w:ascii="Calibri" w:hAnsi="Calibri"/>
          <w:sz w:val="22"/>
          <w:szCs w:val="22"/>
        </w:rPr>
      </w:pPr>
      <w:r w:rsidRPr="003D5AD3">
        <w:rPr>
          <w:rFonts w:ascii="Calibri" w:hAnsi="Calibri"/>
          <w:sz w:val="22"/>
          <w:szCs w:val="22"/>
        </w:rPr>
        <w:t xml:space="preserve">Varus deformity and associated medial compartment OA can be managed with HTO by either a MO wedge and plate fixation or a LC wedge approach. Both methods can adequately correct the </w:t>
      </w:r>
      <w:proofErr w:type="spellStart"/>
      <w:r w:rsidRPr="003D5AD3">
        <w:rPr>
          <w:rFonts w:ascii="Calibri" w:hAnsi="Calibri"/>
          <w:sz w:val="22"/>
          <w:szCs w:val="22"/>
        </w:rPr>
        <w:t>varus</w:t>
      </w:r>
      <w:proofErr w:type="spellEnd"/>
      <w:r w:rsidRPr="003D5AD3">
        <w:rPr>
          <w:rFonts w:ascii="Calibri" w:hAnsi="Calibri"/>
          <w:sz w:val="22"/>
          <w:szCs w:val="22"/>
        </w:rPr>
        <w:t xml:space="preserve"> deformity, however they have othe</w:t>
      </w:r>
      <w:r w:rsidR="00613C2C">
        <w:rPr>
          <w:rFonts w:ascii="Calibri" w:hAnsi="Calibri"/>
          <w:sz w:val="22"/>
          <w:szCs w:val="22"/>
        </w:rPr>
        <w:t>r impacts on knee kinematics</w:t>
      </w:r>
      <w:r w:rsidR="00613C2C">
        <w:rPr>
          <w:rFonts w:ascii="Calibri" w:hAnsi="Calibri"/>
          <w:sz w:val="22"/>
          <w:szCs w:val="22"/>
          <w:vertAlign w:val="superscript"/>
        </w:rPr>
        <w:t>4</w:t>
      </w:r>
      <w:r w:rsidRPr="003D5AD3">
        <w:rPr>
          <w:rFonts w:ascii="Calibri" w:hAnsi="Calibri"/>
          <w:sz w:val="22"/>
          <w:szCs w:val="22"/>
        </w:rPr>
        <w:t>. The use of computer navigation can also be applied to HTO procedures to inc</w:t>
      </w:r>
      <w:r w:rsidR="00613C2C">
        <w:rPr>
          <w:rFonts w:ascii="Calibri" w:hAnsi="Calibri"/>
          <w:sz w:val="22"/>
          <w:szCs w:val="22"/>
        </w:rPr>
        <w:t>rease accuracy and precision</w:t>
      </w:r>
      <w:r w:rsidR="00613C2C">
        <w:rPr>
          <w:rFonts w:ascii="Calibri" w:hAnsi="Calibri"/>
          <w:sz w:val="22"/>
          <w:szCs w:val="22"/>
          <w:vertAlign w:val="superscript"/>
        </w:rPr>
        <w:t>2</w:t>
      </w:r>
      <w:r w:rsidRPr="003D5AD3">
        <w:rPr>
          <w:rFonts w:ascii="Calibri" w:hAnsi="Calibri"/>
          <w:sz w:val="22"/>
          <w:szCs w:val="22"/>
        </w:rPr>
        <w:t>. A database search of previous studies revealed four prospective clinical trials that compar</w:t>
      </w:r>
      <w:r w:rsidR="00613C2C">
        <w:rPr>
          <w:rFonts w:ascii="Calibri" w:hAnsi="Calibri"/>
          <w:sz w:val="22"/>
          <w:szCs w:val="22"/>
        </w:rPr>
        <w:t>e traditional MO HTO vs LC HTO</w:t>
      </w:r>
      <w:r w:rsidR="00613C2C">
        <w:rPr>
          <w:rFonts w:ascii="Calibri" w:hAnsi="Calibri"/>
          <w:sz w:val="22"/>
          <w:szCs w:val="22"/>
          <w:vertAlign w:val="superscript"/>
        </w:rPr>
        <w:t>1</w:t>
      </w:r>
      <w:r w:rsidRPr="003D5AD3">
        <w:rPr>
          <w:rFonts w:ascii="Calibri" w:hAnsi="Calibri"/>
          <w:sz w:val="22"/>
          <w:szCs w:val="22"/>
        </w:rPr>
        <w:t xml:space="preserve"> and navigated MO HTO vs </w:t>
      </w:r>
      <w:r w:rsidR="00613C2C">
        <w:rPr>
          <w:rFonts w:ascii="Calibri" w:hAnsi="Calibri"/>
          <w:sz w:val="22"/>
          <w:szCs w:val="22"/>
        </w:rPr>
        <w:t>traditional MO HTO</w:t>
      </w:r>
      <w:r w:rsidR="00613C2C">
        <w:rPr>
          <w:rFonts w:ascii="Calibri" w:hAnsi="Calibri"/>
          <w:sz w:val="22"/>
          <w:szCs w:val="22"/>
          <w:vertAlign w:val="superscript"/>
        </w:rPr>
        <w:t>3</w:t>
      </w:r>
      <w:r w:rsidRPr="003D5AD3">
        <w:rPr>
          <w:rFonts w:ascii="Calibri" w:hAnsi="Calibri"/>
          <w:sz w:val="22"/>
          <w:szCs w:val="22"/>
        </w:rPr>
        <w:t xml:space="preserve">. </w:t>
      </w:r>
    </w:p>
    <w:p w14:paraId="351E9B1A" w14:textId="77777777" w:rsidR="00D21EFC" w:rsidRPr="003D5AD3" w:rsidRDefault="00D21EFC" w:rsidP="00D21EFC">
      <w:pPr>
        <w:jc w:val="both"/>
        <w:rPr>
          <w:rFonts w:ascii="Calibri" w:hAnsi="Calibri"/>
          <w:sz w:val="22"/>
          <w:szCs w:val="22"/>
        </w:rPr>
      </w:pPr>
    </w:p>
    <w:p w14:paraId="723104B1" w14:textId="128BDFE4" w:rsidR="00D21EFC" w:rsidRPr="003D5AD3" w:rsidRDefault="00D21EFC" w:rsidP="00D21EFC">
      <w:pPr>
        <w:jc w:val="both"/>
        <w:rPr>
          <w:rFonts w:ascii="Calibri" w:hAnsi="Calibri"/>
          <w:sz w:val="22"/>
          <w:szCs w:val="22"/>
        </w:rPr>
      </w:pPr>
      <w:proofErr w:type="spellStart"/>
      <w:r w:rsidRPr="003D5AD3">
        <w:rPr>
          <w:rFonts w:ascii="Calibri" w:hAnsi="Calibri"/>
          <w:sz w:val="22"/>
          <w:szCs w:val="22"/>
        </w:rPr>
        <w:t>Nerhus</w:t>
      </w:r>
      <w:proofErr w:type="spellEnd"/>
      <w:r w:rsidRPr="003D5AD3">
        <w:rPr>
          <w:rFonts w:ascii="Calibri" w:hAnsi="Calibri"/>
          <w:sz w:val="22"/>
          <w:szCs w:val="22"/>
        </w:rPr>
        <w:t xml:space="preserve"> et al</w:t>
      </w:r>
      <w:r w:rsidR="007241AC" w:rsidRPr="007241AC">
        <w:rPr>
          <w:rFonts w:ascii="Calibri" w:hAnsi="Calibri"/>
          <w:sz w:val="22"/>
          <w:szCs w:val="22"/>
          <w:vertAlign w:val="superscript"/>
        </w:rPr>
        <w:t>1</w:t>
      </w:r>
      <w:r w:rsidRPr="003D5AD3">
        <w:rPr>
          <w:rFonts w:ascii="Calibri" w:hAnsi="Calibri"/>
          <w:sz w:val="22"/>
          <w:szCs w:val="22"/>
        </w:rPr>
        <w:t xml:space="preserve">, performed a prospective </w:t>
      </w:r>
      <w:r w:rsidR="00682269">
        <w:rPr>
          <w:rFonts w:ascii="Calibri" w:hAnsi="Calibri"/>
          <w:sz w:val="22"/>
          <w:szCs w:val="22"/>
        </w:rPr>
        <w:t>randomis</w:t>
      </w:r>
      <w:r w:rsidRPr="003D5AD3">
        <w:rPr>
          <w:rFonts w:ascii="Calibri" w:hAnsi="Calibri"/>
          <w:sz w:val="22"/>
          <w:szCs w:val="22"/>
        </w:rPr>
        <w:t xml:space="preserve">ed clinical trial comparing traditional MO Wedge HTO vs LC Wedge HTO where-by investigators compared final corrections to planned corrections. Radiological measurements were taken pre-operatively and at six months post-operatively. Mechanical medial proximal </w:t>
      </w:r>
      <w:proofErr w:type="spellStart"/>
      <w:r w:rsidRPr="003D5AD3">
        <w:rPr>
          <w:rFonts w:ascii="Calibri" w:hAnsi="Calibri"/>
          <w:sz w:val="22"/>
          <w:szCs w:val="22"/>
        </w:rPr>
        <w:t>tibial</w:t>
      </w:r>
      <w:proofErr w:type="spellEnd"/>
      <w:r w:rsidRPr="003D5AD3">
        <w:rPr>
          <w:rFonts w:ascii="Calibri" w:hAnsi="Calibri"/>
          <w:sz w:val="22"/>
          <w:szCs w:val="22"/>
        </w:rPr>
        <w:t xml:space="preserve"> angle comparisons' (</w:t>
      </w:r>
      <w:proofErr w:type="spellStart"/>
      <w:r w:rsidRPr="003D5AD3">
        <w:rPr>
          <w:rFonts w:ascii="Calibri" w:hAnsi="Calibri"/>
          <w:sz w:val="22"/>
          <w:szCs w:val="22"/>
        </w:rPr>
        <w:t>mMPTA</w:t>
      </w:r>
      <w:proofErr w:type="spellEnd"/>
      <w:r w:rsidRPr="003D5AD3">
        <w:rPr>
          <w:rFonts w:ascii="Calibri" w:hAnsi="Calibri"/>
          <w:sz w:val="22"/>
          <w:szCs w:val="22"/>
        </w:rPr>
        <w:t xml:space="preserve">) showed no difference. Leg length increased by a mean 3.1 mm after MO HTOs and a decrease by mean 5.7 mm after LC. In comparison, </w:t>
      </w:r>
      <w:proofErr w:type="spellStart"/>
      <w:r w:rsidRPr="003D5AD3">
        <w:rPr>
          <w:rFonts w:ascii="Calibri" w:hAnsi="Calibri"/>
          <w:sz w:val="22"/>
          <w:szCs w:val="22"/>
        </w:rPr>
        <w:t>Amzallag</w:t>
      </w:r>
      <w:proofErr w:type="spellEnd"/>
      <w:r w:rsidRPr="003D5AD3">
        <w:rPr>
          <w:rFonts w:ascii="Calibri" w:hAnsi="Calibri"/>
          <w:sz w:val="22"/>
          <w:szCs w:val="22"/>
        </w:rPr>
        <w:t xml:space="preserve"> et al,</w:t>
      </w:r>
      <w:r w:rsidR="007241AC" w:rsidRPr="007241AC">
        <w:rPr>
          <w:rFonts w:ascii="Calibri" w:hAnsi="Calibri"/>
          <w:sz w:val="22"/>
          <w:szCs w:val="22"/>
          <w:vertAlign w:val="superscript"/>
        </w:rPr>
        <w:t>2</w:t>
      </w:r>
      <w:r w:rsidRPr="003D5AD3">
        <w:rPr>
          <w:rFonts w:ascii="Calibri" w:hAnsi="Calibri"/>
          <w:sz w:val="22"/>
          <w:szCs w:val="22"/>
        </w:rPr>
        <w:t xml:space="preserve"> conducted a multicentre, prospective, comparative, observational, non-randomised study where by patellar height modification after HTO surgery was measured (MO n=224, LC=97 HTO). Both studies showed no significant difference in Patella height (</w:t>
      </w:r>
      <w:proofErr w:type="spellStart"/>
      <w:r w:rsidRPr="003D5AD3">
        <w:rPr>
          <w:rFonts w:ascii="Calibri" w:hAnsi="Calibri"/>
          <w:sz w:val="22"/>
          <w:szCs w:val="22"/>
        </w:rPr>
        <w:t>Nerhus</w:t>
      </w:r>
      <w:proofErr w:type="spellEnd"/>
      <w:r w:rsidRPr="003D5AD3">
        <w:rPr>
          <w:rFonts w:ascii="Calibri" w:hAnsi="Calibri"/>
          <w:sz w:val="22"/>
          <w:szCs w:val="22"/>
        </w:rPr>
        <w:t xml:space="preserve"> et al used </w:t>
      </w:r>
      <w:proofErr w:type="spellStart"/>
      <w:r w:rsidRPr="003D5AD3">
        <w:rPr>
          <w:rFonts w:ascii="Calibri" w:hAnsi="Calibri"/>
          <w:sz w:val="22"/>
          <w:szCs w:val="22"/>
        </w:rPr>
        <w:t>Insall-Salvati</w:t>
      </w:r>
      <w:proofErr w:type="spellEnd"/>
      <w:r w:rsidRPr="003D5AD3">
        <w:rPr>
          <w:rFonts w:ascii="Calibri" w:hAnsi="Calibri"/>
          <w:sz w:val="22"/>
          <w:szCs w:val="22"/>
        </w:rPr>
        <w:t xml:space="preserve"> method and </w:t>
      </w:r>
      <w:proofErr w:type="spellStart"/>
      <w:r w:rsidRPr="003D5AD3">
        <w:rPr>
          <w:rFonts w:ascii="Calibri" w:hAnsi="Calibri"/>
          <w:sz w:val="22"/>
          <w:szCs w:val="22"/>
        </w:rPr>
        <w:t>Amzallag</w:t>
      </w:r>
      <w:proofErr w:type="spellEnd"/>
      <w:r w:rsidRPr="003D5AD3">
        <w:rPr>
          <w:rFonts w:ascii="Calibri" w:hAnsi="Calibri"/>
          <w:sz w:val="22"/>
          <w:szCs w:val="22"/>
        </w:rPr>
        <w:t xml:space="preserve"> et al the </w:t>
      </w:r>
      <w:proofErr w:type="spellStart"/>
      <w:r w:rsidRPr="003D5AD3">
        <w:rPr>
          <w:rFonts w:ascii="Calibri" w:hAnsi="Calibri"/>
          <w:sz w:val="22"/>
          <w:szCs w:val="22"/>
        </w:rPr>
        <w:t>Caton</w:t>
      </w:r>
      <w:proofErr w:type="spellEnd"/>
      <w:r w:rsidRPr="003D5AD3">
        <w:rPr>
          <w:rFonts w:ascii="Calibri" w:hAnsi="Calibri"/>
          <w:sz w:val="22"/>
          <w:szCs w:val="22"/>
        </w:rPr>
        <w:t xml:space="preserve"> </w:t>
      </w:r>
      <w:proofErr w:type="spellStart"/>
      <w:r w:rsidRPr="003D5AD3">
        <w:rPr>
          <w:rFonts w:ascii="Calibri" w:hAnsi="Calibri"/>
          <w:sz w:val="22"/>
          <w:szCs w:val="22"/>
        </w:rPr>
        <w:t>Deschamps</w:t>
      </w:r>
      <w:proofErr w:type="spellEnd"/>
      <w:r w:rsidRPr="003D5AD3">
        <w:rPr>
          <w:rFonts w:ascii="Calibri" w:hAnsi="Calibri"/>
          <w:sz w:val="22"/>
          <w:szCs w:val="22"/>
        </w:rPr>
        <w:t xml:space="preserve"> index).  For post-operative leg length changes, both studies demonstrated a significant decrease for the LC HTO group. </w:t>
      </w:r>
      <w:proofErr w:type="spellStart"/>
      <w:r w:rsidRPr="003D5AD3">
        <w:rPr>
          <w:rFonts w:ascii="Calibri" w:hAnsi="Calibri"/>
          <w:sz w:val="22"/>
          <w:szCs w:val="22"/>
        </w:rPr>
        <w:t>Nerhus</w:t>
      </w:r>
      <w:proofErr w:type="spellEnd"/>
      <w:r w:rsidRPr="003D5AD3">
        <w:rPr>
          <w:rFonts w:ascii="Calibri" w:hAnsi="Calibri"/>
          <w:sz w:val="22"/>
          <w:szCs w:val="22"/>
        </w:rPr>
        <w:t xml:space="preserve"> et al also found there was a significant reduction in </w:t>
      </w:r>
      <w:proofErr w:type="spellStart"/>
      <w:r w:rsidRPr="003D5AD3">
        <w:rPr>
          <w:rFonts w:ascii="Calibri" w:hAnsi="Calibri"/>
          <w:sz w:val="22"/>
          <w:szCs w:val="22"/>
        </w:rPr>
        <w:t>tibial</w:t>
      </w:r>
      <w:proofErr w:type="spellEnd"/>
      <w:r w:rsidRPr="003D5AD3">
        <w:rPr>
          <w:rFonts w:ascii="Calibri" w:hAnsi="Calibri"/>
          <w:sz w:val="22"/>
          <w:szCs w:val="22"/>
        </w:rPr>
        <w:t xml:space="preserve"> slope with the LC (6.5 ±2.3mm to 3.9 ± 4.4mm)</w:t>
      </w:r>
      <w:r w:rsidR="007241AC">
        <w:rPr>
          <w:rFonts w:ascii="Calibri" w:hAnsi="Calibri"/>
          <w:sz w:val="22"/>
          <w:szCs w:val="22"/>
        </w:rPr>
        <w:t xml:space="preserve"> </w:t>
      </w:r>
      <w:r w:rsidRPr="003D5AD3">
        <w:rPr>
          <w:rFonts w:ascii="Calibri" w:hAnsi="Calibri"/>
          <w:sz w:val="22"/>
          <w:szCs w:val="22"/>
        </w:rPr>
        <w:t>where no change was measured with MO (7.0 ± 2.6mm to 8.0 ± 3.4mm).</w:t>
      </w:r>
    </w:p>
    <w:p w14:paraId="5D8DE8BE" w14:textId="77777777" w:rsidR="00D21EFC" w:rsidRPr="003D5AD3" w:rsidRDefault="00D21EFC" w:rsidP="00D21EFC">
      <w:pPr>
        <w:jc w:val="both"/>
        <w:rPr>
          <w:rFonts w:ascii="Calibri" w:hAnsi="Calibri"/>
          <w:sz w:val="22"/>
          <w:szCs w:val="22"/>
        </w:rPr>
      </w:pPr>
    </w:p>
    <w:p w14:paraId="2826B730" w14:textId="1B18D76A" w:rsidR="00D21EFC" w:rsidRPr="003D5AD3" w:rsidRDefault="00D21EFC" w:rsidP="00D21EFC">
      <w:pPr>
        <w:jc w:val="both"/>
        <w:rPr>
          <w:rFonts w:ascii="Calibri" w:hAnsi="Calibri"/>
          <w:sz w:val="22"/>
          <w:szCs w:val="22"/>
        </w:rPr>
      </w:pPr>
      <w:r w:rsidRPr="003D5AD3">
        <w:rPr>
          <w:rFonts w:ascii="Calibri" w:hAnsi="Calibri"/>
          <w:sz w:val="22"/>
          <w:szCs w:val="22"/>
        </w:rPr>
        <w:t>In 2016 Na et al</w:t>
      </w:r>
      <w:r w:rsidR="007241AC" w:rsidRPr="007241AC">
        <w:rPr>
          <w:rFonts w:ascii="Calibri" w:hAnsi="Calibri"/>
          <w:sz w:val="22"/>
          <w:szCs w:val="22"/>
          <w:vertAlign w:val="superscript"/>
        </w:rPr>
        <w:t>3</w:t>
      </w:r>
      <w:r w:rsidRPr="003D5AD3">
        <w:rPr>
          <w:rFonts w:ascii="Calibri" w:hAnsi="Calibri"/>
          <w:sz w:val="22"/>
          <w:szCs w:val="22"/>
        </w:rPr>
        <w:t xml:space="preserve"> concluded from their retrospective investigation into the use of navigation in MO HTO that compared to conventional MO HTO, navigation maintained </w:t>
      </w:r>
      <w:proofErr w:type="spellStart"/>
      <w:r w:rsidRPr="003D5AD3">
        <w:rPr>
          <w:rFonts w:ascii="Calibri" w:hAnsi="Calibri"/>
          <w:sz w:val="22"/>
          <w:szCs w:val="22"/>
        </w:rPr>
        <w:t>tibial</w:t>
      </w:r>
      <w:proofErr w:type="spellEnd"/>
      <w:r w:rsidRPr="003D5AD3">
        <w:rPr>
          <w:rFonts w:ascii="Calibri" w:hAnsi="Calibri"/>
          <w:sz w:val="22"/>
          <w:szCs w:val="22"/>
        </w:rPr>
        <w:t xml:space="preserve"> slope. Investigators compared 40 knees that underwent MW HTO surgery with assistance of navigation by one surgeon, versus 20 knees that underwent conventional MW HTO by another surgeon. According to investigators the MO HTO navigation group had reduced radiation exposure however operative times were comparable. There were however, no studies investigating the use of navigation for LC HTO for comparison of these parameters.</w:t>
      </w:r>
    </w:p>
    <w:p w14:paraId="704E7112" w14:textId="77777777" w:rsidR="00D21EFC" w:rsidRPr="003D5AD3" w:rsidRDefault="00D21EFC" w:rsidP="00D21EFC">
      <w:pPr>
        <w:jc w:val="both"/>
        <w:rPr>
          <w:rFonts w:ascii="Calibri" w:hAnsi="Calibri"/>
          <w:sz w:val="22"/>
          <w:szCs w:val="22"/>
        </w:rPr>
      </w:pPr>
    </w:p>
    <w:p w14:paraId="0C54A811" w14:textId="7A879519" w:rsidR="00D21EFC" w:rsidRPr="003D5AD3" w:rsidRDefault="00D21EFC" w:rsidP="00D21EFC">
      <w:pPr>
        <w:jc w:val="both"/>
        <w:rPr>
          <w:rFonts w:ascii="Calibri" w:hAnsi="Calibri"/>
          <w:sz w:val="22"/>
          <w:szCs w:val="22"/>
        </w:rPr>
      </w:pPr>
      <w:r w:rsidRPr="003D5AD3">
        <w:rPr>
          <w:rFonts w:ascii="Calibri" w:hAnsi="Calibri"/>
          <w:sz w:val="22"/>
          <w:szCs w:val="22"/>
        </w:rPr>
        <w:t xml:space="preserve">From the literature available there is supporting evidence to suggest, the two surgical approaches (traditional/navigation and MO/LC) yield significantly different alignment parameters post-operative. It is certain that these changes will impact patients' post-operative function and satisfaction; the extent of which could be further examined by </w:t>
      </w:r>
      <w:r w:rsidR="00753685" w:rsidRPr="003D5AD3">
        <w:rPr>
          <w:rFonts w:ascii="Calibri" w:hAnsi="Calibri"/>
          <w:sz w:val="22"/>
          <w:szCs w:val="22"/>
        </w:rPr>
        <w:t>analysing</w:t>
      </w:r>
      <w:r w:rsidRPr="003D5AD3">
        <w:rPr>
          <w:rFonts w:ascii="Calibri" w:hAnsi="Calibri"/>
          <w:sz w:val="22"/>
          <w:szCs w:val="22"/>
        </w:rPr>
        <w:t xml:space="preserve"> patient gait patterns.  </w:t>
      </w:r>
      <w:r w:rsidR="00753685">
        <w:rPr>
          <w:rFonts w:ascii="Calibri" w:hAnsi="Calibri"/>
          <w:sz w:val="22"/>
          <w:szCs w:val="22"/>
        </w:rPr>
        <w:t>Specifically</w:t>
      </w:r>
      <w:r w:rsidR="00AE78B3">
        <w:rPr>
          <w:rFonts w:ascii="Calibri" w:hAnsi="Calibri"/>
          <w:sz w:val="22"/>
          <w:szCs w:val="22"/>
        </w:rPr>
        <w:t>,</w:t>
      </w:r>
      <w:r w:rsidR="00753685">
        <w:rPr>
          <w:rFonts w:ascii="Calibri" w:hAnsi="Calibri"/>
          <w:sz w:val="22"/>
          <w:szCs w:val="22"/>
        </w:rPr>
        <w:t xml:space="preserve"> does the same correction achieved intraoperatively produce the same correction to gait mechanics post-operatively.</w:t>
      </w:r>
    </w:p>
    <w:p w14:paraId="26C056A4" w14:textId="21CCB2EA" w:rsidR="00D21EFC" w:rsidRPr="003D5AD3" w:rsidRDefault="00891125" w:rsidP="00891125">
      <w:pPr>
        <w:tabs>
          <w:tab w:val="left" w:pos="2040"/>
        </w:tabs>
        <w:jc w:val="both"/>
        <w:rPr>
          <w:rFonts w:ascii="Calibri" w:hAnsi="Calibri"/>
          <w:sz w:val="22"/>
          <w:szCs w:val="22"/>
        </w:rPr>
      </w:pPr>
      <w:r>
        <w:rPr>
          <w:rFonts w:ascii="Calibri" w:hAnsi="Calibri"/>
          <w:sz w:val="22"/>
          <w:szCs w:val="22"/>
        </w:rPr>
        <w:tab/>
      </w:r>
    </w:p>
    <w:p w14:paraId="3BC8897A" w14:textId="230CD015" w:rsidR="00D21EFC" w:rsidRPr="003D5AD3" w:rsidRDefault="00D21EFC" w:rsidP="00D21EFC">
      <w:pPr>
        <w:jc w:val="both"/>
        <w:rPr>
          <w:rFonts w:ascii="Calibri" w:hAnsi="Calibri"/>
          <w:sz w:val="22"/>
          <w:szCs w:val="22"/>
        </w:rPr>
      </w:pPr>
      <w:r w:rsidRPr="003D5AD3">
        <w:rPr>
          <w:rFonts w:ascii="Calibri" w:hAnsi="Calibri"/>
          <w:sz w:val="22"/>
          <w:szCs w:val="22"/>
        </w:rPr>
        <w:t xml:space="preserve">Ground reaction force analysis is one method which could be used to measure the effect on gait pattern following HTO surgery. </w:t>
      </w:r>
      <w:proofErr w:type="spellStart"/>
      <w:r w:rsidRPr="003D5AD3">
        <w:rPr>
          <w:rFonts w:ascii="Calibri" w:hAnsi="Calibri"/>
          <w:sz w:val="22"/>
          <w:szCs w:val="22"/>
        </w:rPr>
        <w:t>DeMeo</w:t>
      </w:r>
      <w:proofErr w:type="spellEnd"/>
      <w:r w:rsidRPr="003D5AD3">
        <w:rPr>
          <w:rFonts w:ascii="Calibri" w:hAnsi="Calibri"/>
          <w:sz w:val="22"/>
          <w:szCs w:val="22"/>
        </w:rPr>
        <w:t xml:space="preserve"> and colleagues</w:t>
      </w:r>
      <w:r w:rsidR="007241AC" w:rsidRPr="007241AC">
        <w:rPr>
          <w:rFonts w:ascii="Calibri" w:hAnsi="Calibri"/>
          <w:sz w:val="22"/>
          <w:szCs w:val="22"/>
          <w:vertAlign w:val="superscript"/>
        </w:rPr>
        <w:t>5</w:t>
      </w:r>
      <w:r w:rsidRPr="003D5AD3">
        <w:rPr>
          <w:rFonts w:ascii="Calibri" w:hAnsi="Calibri"/>
          <w:sz w:val="22"/>
          <w:szCs w:val="22"/>
        </w:rPr>
        <w:t xml:space="preserve"> investigated adduction moment and vertical ground reaction force with gait analysis, along with the clinical and radiographic results after a MO HTO in a case series of 20 consecutive patients with isolated medial compartment osteoarthritis and varus deformity. Gait analysis was performed pre-operat</w:t>
      </w:r>
      <w:r w:rsidR="00682269">
        <w:rPr>
          <w:rFonts w:ascii="Calibri" w:hAnsi="Calibri"/>
          <w:sz w:val="22"/>
          <w:szCs w:val="22"/>
        </w:rPr>
        <w:t>ively and at six</w:t>
      </w:r>
      <w:r w:rsidRPr="003D5AD3">
        <w:rPr>
          <w:rFonts w:ascii="Calibri" w:hAnsi="Calibri"/>
          <w:sz w:val="22"/>
          <w:szCs w:val="22"/>
        </w:rPr>
        <w:t xml:space="preserve"> months post-operatively. Their pre-operative gait analysis showed abnormal weight bearing pattern and post-operative vertical ground-reaction force revealed a return to normal double peak pattern. Pre-operative varus averaged 3.6° (range, 0°-6°) and was corrected to an average of 7.5° (range, 4°-9°) of valgus. There was a 29% reduction in the adduction moment post-operatively, indicating improved weight distribution when walking.</w:t>
      </w:r>
    </w:p>
    <w:p w14:paraId="174ED421" w14:textId="77777777" w:rsidR="00D21EFC" w:rsidRPr="003D5AD3" w:rsidRDefault="00D21EFC" w:rsidP="00D21EFC">
      <w:pPr>
        <w:jc w:val="both"/>
        <w:rPr>
          <w:rFonts w:ascii="Calibri" w:hAnsi="Calibri"/>
          <w:sz w:val="22"/>
          <w:szCs w:val="22"/>
        </w:rPr>
      </w:pPr>
    </w:p>
    <w:p w14:paraId="3E2B40D6" w14:textId="77E3FD48" w:rsidR="00D21EFC" w:rsidRPr="003D5AD3" w:rsidRDefault="00D21EFC" w:rsidP="00D21EFC">
      <w:pPr>
        <w:jc w:val="both"/>
        <w:rPr>
          <w:rFonts w:ascii="Calibri" w:hAnsi="Calibri"/>
          <w:sz w:val="22"/>
          <w:szCs w:val="22"/>
        </w:rPr>
      </w:pPr>
      <w:r w:rsidRPr="003D5AD3">
        <w:rPr>
          <w:rFonts w:ascii="Calibri" w:hAnsi="Calibri"/>
          <w:sz w:val="22"/>
          <w:szCs w:val="22"/>
        </w:rPr>
        <w:t xml:space="preserve">We are unaware of any literature comparing navigated medial opening (MO) wedge HTO versus navigated lateral closing (LC) wedge HTO. </w:t>
      </w:r>
    </w:p>
    <w:p w14:paraId="1C6333E7" w14:textId="77777777" w:rsidR="00D21EFC" w:rsidRPr="003D5AD3" w:rsidRDefault="00D21EFC" w:rsidP="00BA73F1">
      <w:pPr>
        <w:pStyle w:val="ORIQLHeading2"/>
      </w:pPr>
      <w:r w:rsidRPr="003D5AD3">
        <w:t>STUDY HYPOTHESIS</w:t>
      </w:r>
    </w:p>
    <w:p w14:paraId="1491AFBB" w14:textId="398FD22D"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Primary Hypothesis:</w:t>
      </w:r>
    </w:p>
    <w:p w14:paraId="281779BE" w14:textId="00344320" w:rsidR="003D5AD3" w:rsidRDefault="00753685" w:rsidP="00D21EFC">
      <w:pPr>
        <w:jc w:val="both"/>
        <w:rPr>
          <w:rFonts w:ascii="Calibri" w:hAnsi="Calibri"/>
          <w:color w:val="000000"/>
          <w:sz w:val="22"/>
          <w:szCs w:val="22"/>
        </w:rPr>
      </w:pPr>
      <w:r>
        <w:rPr>
          <w:rFonts w:ascii="Calibri" w:hAnsi="Calibri"/>
          <w:color w:val="000000"/>
          <w:sz w:val="22"/>
          <w:szCs w:val="22"/>
        </w:rPr>
        <w:lastRenderedPageBreak/>
        <w:t>The same angle of correction achieved intra-operatively by two difference</w:t>
      </w:r>
      <w:r w:rsidR="0007797D">
        <w:rPr>
          <w:rFonts w:ascii="Calibri" w:hAnsi="Calibri"/>
          <w:color w:val="000000"/>
          <w:sz w:val="22"/>
          <w:szCs w:val="22"/>
        </w:rPr>
        <w:t xml:space="preserve"> high </w:t>
      </w:r>
      <w:proofErr w:type="spellStart"/>
      <w:r w:rsidR="0007797D">
        <w:rPr>
          <w:rFonts w:ascii="Calibri" w:hAnsi="Calibri"/>
          <w:color w:val="000000"/>
          <w:sz w:val="22"/>
          <w:szCs w:val="22"/>
        </w:rPr>
        <w:t>tibial</w:t>
      </w:r>
      <w:proofErr w:type="spellEnd"/>
      <w:r w:rsidR="0007797D">
        <w:rPr>
          <w:rFonts w:ascii="Calibri" w:hAnsi="Calibri"/>
          <w:color w:val="000000"/>
          <w:sz w:val="22"/>
          <w:szCs w:val="22"/>
        </w:rPr>
        <w:t xml:space="preserve"> osteotomy</w:t>
      </w:r>
      <w:r>
        <w:rPr>
          <w:rFonts w:ascii="Calibri" w:hAnsi="Calibri"/>
          <w:color w:val="000000"/>
          <w:sz w:val="22"/>
          <w:szCs w:val="22"/>
        </w:rPr>
        <w:t xml:space="preserve"> techniques produces the same correction to gait mechanics.</w:t>
      </w:r>
    </w:p>
    <w:p w14:paraId="7F7277B1" w14:textId="77777777" w:rsidR="00753685" w:rsidRDefault="00753685" w:rsidP="00D21EFC">
      <w:pPr>
        <w:jc w:val="both"/>
        <w:rPr>
          <w:rFonts w:ascii="Calibri" w:hAnsi="Calibri"/>
          <w:color w:val="000000"/>
          <w:sz w:val="22"/>
          <w:szCs w:val="22"/>
        </w:rPr>
      </w:pPr>
    </w:p>
    <w:p w14:paraId="27A647A4" w14:textId="31171B59" w:rsidR="003D5AD3" w:rsidRPr="003D5AD3" w:rsidRDefault="003D5AD3" w:rsidP="00D21EFC">
      <w:pPr>
        <w:jc w:val="both"/>
        <w:rPr>
          <w:rFonts w:ascii="Calibri" w:hAnsi="Calibri"/>
          <w:b/>
          <w:color w:val="000000"/>
          <w:sz w:val="22"/>
          <w:szCs w:val="22"/>
        </w:rPr>
      </w:pPr>
      <w:r>
        <w:rPr>
          <w:rFonts w:ascii="Calibri" w:hAnsi="Calibri"/>
          <w:b/>
          <w:color w:val="000000"/>
          <w:sz w:val="22"/>
          <w:szCs w:val="22"/>
        </w:rPr>
        <w:t>Secondary Hypothesis:</w:t>
      </w:r>
    </w:p>
    <w:p w14:paraId="51C9BC8F" w14:textId="0078A534" w:rsidR="00D21EFC" w:rsidRPr="003D5AD3" w:rsidRDefault="00753685" w:rsidP="00D21EFC">
      <w:pPr>
        <w:jc w:val="both"/>
        <w:rPr>
          <w:rFonts w:ascii="Calibri" w:hAnsi="Calibri"/>
          <w:color w:val="000000"/>
          <w:sz w:val="22"/>
          <w:szCs w:val="22"/>
        </w:rPr>
      </w:pPr>
      <w:r>
        <w:rPr>
          <w:rFonts w:ascii="Calibri" w:hAnsi="Calibri"/>
          <w:color w:val="000000"/>
          <w:sz w:val="22"/>
          <w:szCs w:val="22"/>
        </w:rPr>
        <w:t xml:space="preserve">Navigated </w:t>
      </w:r>
      <w:r w:rsidR="004E4199">
        <w:rPr>
          <w:rFonts w:ascii="Calibri" w:hAnsi="Calibri"/>
          <w:color w:val="000000"/>
          <w:sz w:val="22"/>
          <w:szCs w:val="22"/>
        </w:rPr>
        <w:t>LC wedge HTO is as accurate as navigated MO wedge HTO</w:t>
      </w:r>
    </w:p>
    <w:p w14:paraId="4353AAF1" w14:textId="77777777" w:rsidR="00D21EFC" w:rsidRPr="003D5AD3" w:rsidRDefault="00D21EFC" w:rsidP="00BA73F1">
      <w:pPr>
        <w:pStyle w:val="ORIQLHeading2"/>
      </w:pPr>
      <w:r w:rsidRPr="003D5AD3">
        <w:t xml:space="preserve">AIMS </w:t>
      </w:r>
    </w:p>
    <w:p w14:paraId="7BD1B617"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 xml:space="preserve">Primary Aim: </w:t>
      </w:r>
    </w:p>
    <w:p w14:paraId="374388B1"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Investigate what effect on gait pattern, if any, MO HTO versus LC HTO based on the changes in:</w:t>
      </w:r>
    </w:p>
    <w:p w14:paraId="34DFBD34" w14:textId="06144DA2" w:rsidR="00D21EFC" w:rsidRPr="003D5AD3" w:rsidRDefault="00D21EFC" w:rsidP="003D5AD3">
      <w:pPr>
        <w:pStyle w:val="ListParagraph"/>
        <w:numPr>
          <w:ilvl w:val="0"/>
          <w:numId w:val="9"/>
        </w:numPr>
        <w:jc w:val="both"/>
        <w:rPr>
          <w:rFonts w:ascii="Calibri" w:hAnsi="Calibri"/>
          <w:color w:val="000000"/>
          <w:sz w:val="22"/>
          <w:szCs w:val="22"/>
        </w:rPr>
      </w:pPr>
      <w:r w:rsidRPr="003D5AD3">
        <w:rPr>
          <w:rFonts w:ascii="Calibri" w:hAnsi="Calibri"/>
          <w:color w:val="000000"/>
          <w:sz w:val="22"/>
          <w:szCs w:val="22"/>
        </w:rPr>
        <w:t>Ground reaction force</w:t>
      </w:r>
    </w:p>
    <w:p w14:paraId="066A31A3" w14:textId="78EBB80F" w:rsidR="00D21EFC" w:rsidRPr="003D5AD3" w:rsidRDefault="00D21EFC" w:rsidP="003D5AD3">
      <w:pPr>
        <w:pStyle w:val="ListParagraph"/>
        <w:numPr>
          <w:ilvl w:val="0"/>
          <w:numId w:val="9"/>
        </w:numPr>
        <w:jc w:val="both"/>
        <w:rPr>
          <w:rFonts w:ascii="Calibri" w:hAnsi="Calibri"/>
          <w:color w:val="000000"/>
          <w:sz w:val="22"/>
          <w:szCs w:val="22"/>
        </w:rPr>
      </w:pPr>
      <w:r w:rsidRPr="003D5AD3">
        <w:rPr>
          <w:rFonts w:ascii="Calibri" w:hAnsi="Calibri"/>
          <w:color w:val="000000"/>
          <w:sz w:val="22"/>
          <w:szCs w:val="22"/>
        </w:rPr>
        <w:t>Adductor moment</w:t>
      </w:r>
    </w:p>
    <w:p w14:paraId="32FEE11B" w14:textId="16E744A9" w:rsidR="00D21EFC" w:rsidRPr="003D5AD3" w:rsidRDefault="00D21EFC" w:rsidP="003D5AD3">
      <w:pPr>
        <w:pStyle w:val="ListParagraph"/>
        <w:numPr>
          <w:ilvl w:val="0"/>
          <w:numId w:val="9"/>
        </w:numPr>
        <w:jc w:val="both"/>
        <w:rPr>
          <w:rFonts w:ascii="Calibri" w:hAnsi="Calibri"/>
          <w:color w:val="000000"/>
          <w:sz w:val="22"/>
          <w:szCs w:val="22"/>
        </w:rPr>
      </w:pPr>
      <w:r w:rsidRPr="003D5AD3">
        <w:rPr>
          <w:rFonts w:ascii="Calibri" w:hAnsi="Calibri"/>
          <w:color w:val="000000"/>
          <w:sz w:val="22"/>
          <w:szCs w:val="22"/>
        </w:rPr>
        <w:t>Abductor moment</w:t>
      </w:r>
    </w:p>
    <w:p w14:paraId="770E86B2" w14:textId="77777777" w:rsidR="00D21EFC" w:rsidRPr="003D5AD3" w:rsidRDefault="00D21EFC" w:rsidP="00D21EFC">
      <w:pPr>
        <w:jc w:val="both"/>
        <w:rPr>
          <w:rFonts w:ascii="Calibri" w:hAnsi="Calibri"/>
          <w:color w:val="000000"/>
          <w:sz w:val="22"/>
          <w:szCs w:val="22"/>
        </w:rPr>
      </w:pPr>
    </w:p>
    <w:p w14:paraId="03525C38" w14:textId="77777777" w:rsidR="00D21EFC" w:rsidRPr="003D5AD3" w:rsidRDefault="00D21EFC" w:rsidP="00D21EFC">
      <w:pPr>
        <w:jc w:val="both"/>
        <w:rPr>
          <w:rFonts w:ascii="Calibri" w:hAnsi="Calibri"/>
          <w:b/>
          <w:color w:val="000000"/>
          <w:sz w:val="22"/>
          <w:szCs w:val="22"/>
        </w:rPr>
      </w:pPr>
      <w:r w:rsidRPr="003D5AD3">
        <w:rPr>
          <w:rFonts w:ascii="Calibri" w:hAnsi="Calibri"/>
          <w:b/>
          <w:color w:val="000000"/>
          <w:sz w:val="22"/>
          <w:szCs w:val="22"/>
        </w:rPr>
        <w:t xml:space="preserve">Secondary Aims: </w:t>
      </w:r>
    </w:p>
    <w:p w14:paraId="09A88612" w14:textId="77777777" w:rsidR="00D21EFC" w:rsidRPr="003D5AD3" w:rsidRDefault="00D21EFC" w:rsidP="00D21EFC">
      <w:pPr>
        <w:jc w:val="both"/>
        <w:rPr>
          <w:rFonts w:ascii="Calibri" w:hAnsi="Calibri"/>
          <w:color w:val="000000"/>
          <w:sz w:val="22"/>
          <w:szCs w:val="22"/>
        </w:rPr>
      </w:pPr>
      <w:r w:rsidRPr="003D5AD3">
        <w:rPr>
          <w:rFonts w:ascii="Calibri" w:hAnsi="Calibri"/>
          <w:color w:val="000000"/>
          <w:sz w:val="22"/>
          <w:szCs w:val="22"/>
        </w:rPr>
        <w:t xml:space="preserve">What are the comparisons between LC and MW HTO in regards to the radiographic parameters </w:t>
      </w:r>
    </w:p>
    <w:p w14:paraId="212C1D16" w14:textId="1D26D97C"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Time to union</w:t>
      </w:r>
    </w:p>
    <w:p w14:paraId="34649679" w14:textId="183A1727"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Time to weight bear</w:t>
      </w:r>
    </w:p>
    <w:p w14:paraId="11ED611C" w14:textId="282CED84"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Scar size</w:t>
      </w:r>
    </w:p>
    <w:p w14:paraId="5AB33365" w14:textId="2E7DB7E4"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Change in leg length</w:t>
      </w:r>
    </w:p>
    <w:p w14:paraId="27C77F13" w14:textId="7A571407" w:rsidR="00D21EFC" w:rsidRPr="003D5AD3" w:rsidRDefault="00682269" w:rsidP="003D5AD3">
      <w:pPr>
        <w:pStyle w:val="ListParagraph"/>
        <w:numPr>
          <w:ilvl w:val="0"/>
          <w:numId w:val="11"/>
        </w:numPr>
        <w:jc w:val="both"/>
        <w:rPr>
          <w:rFonts w:ascii="Calibri" w:hAnsi="Calibri"/>
          <w:color w:val="000000"/>
          <w:sz w:val="22"/>
          <w:szCs w:val="22"/>
        </w:rPr>
      </w:pPr>
      <w:r>
        <w:rPr>
          <w:rFonts w:ascii="Calibri" w:hAnsi="Calibri"/>
          <w:color w:val="000000"/>
          <w:sz w:val="22"/>
          <w:szCs w:val="22"/>
        </w:rPr>
        <w:t xml:space="preserve">Change to coronal HKA </w:t>
      </w:r>
      <w:r w:rsidR="00D21EFC" w:rsidRPr="003D5AD3">
        <w:rPr>
          <w:rFonts w:ascii="Calibri" w:hAnsi="Calibri"/>
          <w:color w:val="000000"/>
          <w:sz w:val="22"/>
          <w:szCs w:val="22"/>
        </w:rPr>
        <w:t xml:space="preserve">(Measured radiographically) </w:t>
      </w:r>
    </w:p>
    <w:p w14:paraId="2B62C1D0" w14:textId="4D09DF8D"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Change to ROM (Measured by digital inclinometer)</w:t>
      </w:r>
    </w:p>
    <w:p w14:paraId="06B20E1A" w14:textId="2D8CD81B"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Change in patellar height (Lateral radiographs assessed using 'Blackburn Peele' methodology)</w:t>
      </w:r>
    </w:p>
    <w:p w14:paraId="77D39E22" w14:textId="511101CB" w:rsidR="00D21EFC" w:rsidRPr="003D5AD3" w:rsidRDefault="00D21EFC" w:rsidP="003D5AD3">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 xml:space="preserve">Change in </w:t>
      </w:r>
      <w:proofErr w:type="spellStart"/>
      <w:r w:rsidRPr="003D5AD3">
        <w:rPr>
          <w:rFonts w:ascii="Calibri" w:hAnsi="Calibri"/>
          <w:color w:val="000000"/>
          <w:sz w:val="22"/>
          <w:szCs w:val="22"/>
        </w:rPr>
        <w:t>tibial</w:t>
      </w:r>
      <w:proofErr w:type="spellEnd"/>
      <w:r w:rsidRPr="003D5AD3">
        <w:rPr>
          <w:rFonts w:ascii="Calibri" w:hAnsi="Calibri"/>
          <w:color w:val="000000"/>
          <w:sz w:val="22"/>
          <w:szCs w:val="22"/>
        </w:rPr>
        <w:t xml:space="preserve"> slope (Assessment from lateral radiograph)</w:t>
      </w:r>
    </w:p>
    <w:p w14:paraId="4F9ECBEE" w14:textId="157A6284" w:rsidR="00885FEE" w:rsidRPr="008F66BF" w:rsidRDefault="00D21EFC" w:rsidP="008F66BF">
      <w:pPr>
        <w:pStyle w:val="ListParagraph"/>
        <w:numPr>
          <w:ilvl w:val="0"/>
          <w:numId w:val="11"/>
        </w:numPr>
        <w:jc w:val="both"/>
        <w:rPr>
          <w:rFonts w:ascii="Calibri" w:hAnsi="Calibri"/>
          <w:color w:val="000000"/>
          <w:sz w:val="22"/>
          <w:szCs w:val="22"/>
        </w:rPr>
      </w:pPr>
      <w:r w:rsidRPr="003D5AD3">
        <w:rPr>
          <w:rFonts w:ascii="Calibri" w:hAnsi="Calibri"/>
          <w:color w:val="000000"/>
          <w:sz w:val="22"/>
          <w:szCs w:val="22"/>
        </w:rPr>
        <w:t>PROM (</w:t>
      </w:r>
      <w:r w:rsidR="00682269">
        <w:rPr>
          <w:rFonts w:ascii="Calibri" w:hAnsi="Calibri"/>
          <w:color w:val="000000"/>
          <w:sz w:val="22"/>
          <w:szCs w:val="22"/>
        </w:rPr>
        <w:t>Patient Reported Outcome M</w:t>
      </w:r>
      <w:r w:rsidRPr="003D5AD3">
        <w:rPr>
          <w:rFonts w:ascii="Calibri" w:hAnsi="Calibri"/>
          <w:color w:val="000000"/>
          <w:sz w:val="22"/>
          <w:szCs w:val="22"/>
        </w:rPr>
        <w:t>easures) to assess patien</w:t>
      </w:r>
      <w:r w:rsidR="00682269">
        <w:rPr>
          <w:rFonts w:ascii="Calibri" w:hAnsi="Calibri"/>
          <w:color w:val="000000"/>
          <w:sz w:val="22"/>
          <w:szCs w:val="22"/>
        </w:rPr>
        <w:t>t subjective functional outcome</w:t>
      </w:r>
    </w:p>
    <w:p w14:paraId="67B5D8CA" w14:textId="60058A7D" w:rsidR="00D21EFC" w:rsidRPr="003D5AD3" w:rsidRDefault="00D21EFC" w:rsidP="00BA73F1">
      <w:pPr>
        <w:pStyle w:val="ORIQLHeading2"/>
      </w:pPr>
      <w:r w:rsidRPr="003D5AD3">
        <w:t>STUDY DESIGN</w:t>
      </w:r>
    </w:p>
    <w:p w14:paraId="0B6BC2FB" w14:textId="2E1929DF" w:rsidR="002C6145" w:rsidRPr="00BA73F1" w:rsidRDefault="003D5AD3" w:rsidP="00657CB6">
      <w:pPr>
        <w:jc w:val="both"/>
        <w:rPr>
          <w:rFonts w:ascii="Calibri" w:hAnsi="Calibri"/>
          <w:color w:val="000000"/>
          <w:sz w:val="22"/>
          <w:szCs w:val="22"/>
        </w:rPr>
      </w:pPr>
      <w:r w:rsidRPr="003D5AD3">
        <w:rPr>
          <w:rFonts w:ascii="Calibri" w:eastAsia="Calibri" w:hAnsi="Calibri" w:cs="Times New Roman"/>
          <w:color w:val="000000"/>
          <w:sz w:val="22"/>
          <w:szCs w:val="22"/>
          <w:lang w:val="en-AU"/>
        </w:rPr>
        <w:t>This is a randomised prospective</w:t>
      </w:r>
      <w:r>
        <w:rPr>
          <w:rFonts w:ascii="Calibri" w:eastAsia="Calibri" w:hAnsi="Calibri" w:cs="Times New Roman"/>
          <w:color w:val="000000"/>
          <w:sz w:val="22"/>
          <w:szCs w:val="22"/>
          <w:lang w:val="en-AU"/>
        </w:rPr>
        <w:t>,</w:t>
      </w:r>
      <w:r w:rsidRPr="003D5AD3">
        <w:rPr>
          <w:rFonts w:ascii="Calibri" w:eastAsia="Calibri" w:hAnsi="Calibri" w:cs="Times New Roman"/>
          <w:color w:val="000000"/>
          <w:sz w:val="22"/>
          <w:szCs w:val="22"/>
          <w:lang w:val="en-AU"/>
        </w:rPr>
        <w:t xml:space="preserve"> control</w:t>
      </w:r>
      <w:r w:rsidR="004E4199">
        <w:rPr>
          <w:rFonts w:ascii="Calibri" w:eastAsia="Calibri" w:hAnsi="Calibri" w:cs="Times New Roman"/>
          <w:color w:val="000000"/>
          <w:sz w:val="22"/>
          <w:szCs w:val="22"/>
          <w:lang w:val="en-AU"/>
        </w:rPr>
        <w:t>led</w:t>
      </w:r>
      <w:r w:rsidRPr="003D5AD3">
        <w:rPr>
          <w:rFonts w:ascii="Calibri" w:eastAsia="Calibri" w:hAnsi="Calibri" w:cs="Times New Roman"/>
          <w:color w:val="000000"/>
          <w:sz w:val="22"/>
          <w:szCs w:val="22"/>
          <w:lang w:val="en-AU"/>
        </w:rPr>
        <w:t xml:space="preserve"> trial on patients who will undergo </w:t>
      </w:r>
      <w:r>
        <w:rPr>
          <w:rFonts w:ascii="Calibri" w:eastAsia="Calibri" w:hAnsi="Calibri" w:cs="Times New Roman"/>
          <w:color w:val="000000"/>
          <w:sz w:val="22"/>
          <w:szCs w:val="22"/>
          <w:lang w:val="en-AU"/>
        </w:rPr>
        <w:t>computer</w:t>
      </w:r>
      <w:r w:rsidRPr="003D5AD3">
        <w:rPr>
          <w:rFonts w:ascii="Calibri" w:eastAsia="Calibri" w:hAnsi="Calibri" w:cs="Times New Roman"/>
          <w:color w:val="000000"/>
          <w:sz w:val="22"/>
          <w:szCs w:val="22"/>
          <w:lang w:val="en-AU"/>
        </w:rPr>
        <w:t xml:space="preserve"> navigated</w:t>
      </w:r>
      <w:r>
        <w:rPr>
          <w:rFonts w:ascii="Calibri" w:hAnsi="Calibri"/>
          <w:color w:val="000000"/>
          <w:sz w:val="22"/>
          <w:szCs w:val="22"/>
        </w:rPr>
        <w:t xml:space="preserve">, MO and LC HTO surgery. </w:t>
      </w:r>
      <w:r w:rsidR="00D21EFC" w:rsidRPr="003D5AD3">
        <w:rPr>
          <w:rFonts w:ascii="Calibri" w:hAnsi="Calibri"/>
          <w:color w:val="000000"/>
          <w:sz w:val="22"/>
          <w:szCs w:val="22"/>
        </w:rPr>
        <w:t xml:space="preserve">Three surgeons will perform the surgery following HREC approval at the Mater Health Services North QLD Ltd, from September 2016 to September 2018. </w:t>
      </w:r>
    </w:p>
    <w:p w14:paraId="1C7066E0" w14:textId="77777777" w:rsidR="00572EB5" w:rsidRDefault="00572EB5" w:rsidP="00BA73F1">
      <w:pPr>
        <w:pStyle w:val="ORIQLHeading2"/>
      </w:pPr>
      <w:r>
        <w:t>METHODS</w:t>
      </w:r>
    </w:p>
    <w:p w14:paraId="7C68497F" w14:textId="77777777" w:rsidR="00572EB5" w:rsidRPr="006D7F4B" w:rsidRDefault="00572EB5" w:rsidP="006D7F4B">
      <w:pPr>
        <w:pStyle w:val="ORIQLSubheading"/>
      </w:pPr>
      <w:r w:rsidRPr="006D7F4B">
        <w:t>Setting</w:t>
      </w:r>
    </w:p>
    <w:p w14:paraId="419C1948" w14:textId="13221A27" w:rsidR="002C6145" w:rsidRPr="008F66BF" w:rsidRDefault="00572EB5" w:rsidP="008F66BF">
      <w:pPr>
        <w:spacing w:line="276" w:lineRule="auto"/>
        <w:rPr>
          <w:rFonts w:ascii="Calibri" w:eastAsia="Calibri" w:hAnsi="Calibri" w:cs="Times New Roman"/>
          <w:color w:val="000000"/>
          <w:sz w:val="22"/>
          <w:szCs w:val="22"/>
          <w:lang w:val="en-AU"/>
        </w:rPr>
      </w:pPr>
      <w:r w:rsidRPr="00572EB5">
        <w:rPr>
          <w:rFonts w:ascii="Calibri" w:eastAsia="Calibri" w:hAnsi="Calibri" w:cs="Times New Roman"/>
          <w:color w:val="000000"/>
          <w:sz w:val="22"/>
          <w:szCs w:val="22"/>
          <w:lang w:val="en-AU"/>
        </w:rPr>
        <w:t>Mater Health Services North Queensland Ltd</w:t>
      </w:r>
    </w:p>
    <w:p w14:paraId="57EA08D7" w14:textId="4861FC91" w:rsidR="00572EB5" w:rsidRDefault="00572EB5" w:rsidP="006D7F4B">
      <w:pPr>
        <w:pStyle w:val="ORIQLSubheading"/>
      </w:pPr>
      <w:r>
        <w:t>Population</w:t>
      </w:r>
    </w:p>
    <w:p w14:paraId="37479904" w14:textId="60551CA1" w:rsidR="00682269" w:rsidRPr="00F608FB" w:rsidRDefault="00ED6577" w:rsidP="006D7F4B">
      <w:pPr>
        <w:pStyle w:val="ORIQLSubheading"/>
      </w:pPr>
      <w:r w:rsidRPr="00F608FB">
        <w:t>Selection Criteria</w:t>
      </w:r>
    </w:p>
    <w:p w14:paraId="5ABDC1F0" w14:textId="79355128" w:rsidR="000A4388" w:rsidRPr="00F608FB" w:rsidRDefault="000A4388" w:rsidP="00657CB6">
      <w:pPr>
        <w:jc w:val="both"/>
        <w:rPr>
          <w:rFonts w:ascii="Calibri" w:hAnsi="Calibri"/>
          <w:sz w:val="22"/>
          <w:szCs w:val="22"/>
        </w:rPr>
      </w:pPr>
      <w:r w:rsidRPr="00F608FB">
        <w:rPr>
          <w:rFonts w:ascii="Calibri" w:hAnsi="Calibri"/>
          <w:sz w:val="22"/>
          <w:szCs w:val="22"/>
        </w:rPr>
        <w:t>Inclusion criteria</w:t>
      </w:r>
      <w:r w:rsidR="00C26B77" w:rsidRPr="00F608FB">
        <w:rPr>
          <w:rFonts w:ascii="Calibri" w:hAnsi="Calibri"/>
          <w:sz w:val="22"/>
          <w:szCs w:val="22"/>
        </w:rPr>
        <w:t>:</w:t>
      </w:r>
    </w:p>
    <w:p w14:paraId="38BD21E8" w14:textId="57AD30D4" w:rsidR="000A4388" w:rsidRPr="00F608FB" w:rsidRDefault="00D21EFC" w:rsidP="000A4388">
      <w:pPr>
        <w:jc w:val="both"/>
        <w:rPr>
          <w:rFonts w:ascii="Calibri" w:hAnsi="Calibri"/>
          <w:sz w:val="22"/>
          <w:szCs w:val="22"/>
        </w:rPr>
      </w:pPr>
      <w:r w:rsidRPr="00F608FB">
        <w:rPr>
          <w:rFonts w:ascii="Calibri" w:hAnsi="Calibri"/>
          <w:sz w:val="22"/>
          <w:szCs w:val="22"/>
        </w:rPr>
        <w:t>A</w:t>
      </w:r>
      <w:r w:rsidR="000A4388" w:rsidRPr="00F608FB">
        <w:rPr>
          <w:rFonts w:ascii="Calibri" w:hAnsi="Calibri"/>
          <w:sz w:val="22"/>
          <w:szCs w:val="22"/>
        </w:rPr>
        <w:t>ge 30–60 years</w:t>
      </w:r>
    </w:p>
    <w:p w14:paraId="2169600B" w14:textId="262B2F79" w:rsidR="000A4388" w:rsidRPr="00F608FB" w:rsidRDefault="00AD7640" w:rsidP="00657CB6">
      <w:pPr>
        <w:jc w:val="both"/>
        <w:rPr>
          <w:rFonts w:ascii="Calibri" w:hAnsi="Calibri"/>
          <w:sz w:val="22"/>
          <w:szCs w:val="22"/>
        </w:rPr>
      </w:pPr>
      <w:r w:rsidRPr="00F608FB">
        <w:rPr>
          <w:rFonts w:ascii="Calibri" w:hAnsi="Calibri"/>
          <w:sz w:val="22"/>
          <w:szCs w:val="22"/>
        </w:rPr>
        <w:t>BMI&lt;35</w:t>
      </w:r>
    </w:p>
    <w:p w14:paraId="1752C5FB" w14:textId="0C4B2103" w:rsidR="000A4388" w:rsidRPr="00F608FB" w:rsidRDefault="00AD7640" w:rsidP="00657CB6">
      <w:pPr>
        <w:jc w:val="both"/>
        <w:rPr>
          <w:rFonts w:ascii="Calibri" w:hAnsi="Calibri"/>
          <w:sz w:val="22"/>
          <w:szCs w:val="22"/>
        </w:rPr>
      </w:pPr>
      <w:r w:rsidRPr="00F608FB">
        <w:rPr>
          <w:rFonts w:ascii="Calibri" w:hAnsi="Calibri"/>
          <w:sz w:val="22"/>
          <w:szCs w:val="22"/>
        </w:rPr>
        <w:t>M</w:t>
      </w:r>
      <w:r w:rsidR="002C6145" w:rsidRPr="00F608FB">
        <w:rPr>
          <w:rFonts w:ascii="Calibri" w:hAnsi="Calibri"/>
          <w:sz w:val="22"/>
          <w:szCs w:val="22"/>
        </w:rPr>
        <w:t>edial compartment OA</w:t>
      </w:r>
      <w:r w:rsidRPr="00F608FB">
        <w:rPr>
          <w:rFonts w:ascii="Calibri" w:hAnsi="Calibri"/>
          <w:sz w:val="22"/>
          <w:szCs w:val="22"/>
        </w:rPr>
        <w:t xml:space="preserve"> with medial knee pain</w:t>
      </w:r>
    </w:p>
    <w:p w14:paraId="51143AC1" w14:textId="1EBC50CD" w:rsidR="002C6145" w:rsidRPr="00F608FB" w:rsidRDefault="000A4388" w:rsidP="00657CB6">
      <w:pPr>
        <w:jc w:val="both"/>
        <w:rPr>
          <w:rFonts w:ascii="Calibri" w:hAnsi="Calibri"/>
          <w:sz w:val="22"/>
          <w:szCs w:val="22"/>
        </w:rPr>
      </w:pPr>
      <w:r w:rsidRPr="00F608FB">
        <w:rPr>
          <w:rFonts w:ascii="Calibri" w:hAnsi="Calibri"/>
          <w:sz w:val="22"/>
          <w:szCs w:val="22"/>
        </w:rPr>
        <w:t>Intact ACL</w:t>
      </w:r>
    </w:p>
    <w:p w14:paraId="4023DE5E" w14:textId="3E6F2B0C" w:rsidR="002C6145" w:rsidRPr="00F608FB" w:rsidRDefault="00AD7640" w:rsidP="00657CB6">
      <w:pPr>
        <w:jc w:val="both"/>
        <w:rPr>
          <w:rFonts w:ascii="Calibri" w:hAnsi="Calibri"/>
          <w:sz w:val="22"/>
          <w:szCs w:val="22"/>
        </w:rPr>
      </w:pPr>
      <w:r w:rsidRPr="00F608FB">
        <w:rPr>
          <w:rFonts w:ascii="Calibri" w:hAnsi="Calibri"/>
          <w:sz w:val="22"/>
          <w:szCs w:val="22"/>
        </w:rPr>
        <w:t>Varus malalignment of &lt;10</w:t>
      </w:r>
      <w:r w:rsidR="00D21EFC" w:rsidRPr="00F608FB">
        <w:rPr>
          <w:rFonts w:ascii="Calibri" w:hAnsi="Calibri"/>
          <w:sz w:val="22"/>
          <w:szCs w:val="22"/>
        </w:rPr>
        <w:t>⁰</w:t>
      </w:r>
    </w:p>
    <w:p w14:paraId="12042FFA" w14:textId="3C24974C" w:rsidR="00AD7640" w:rsidRPr="00F608FB" w:rsidRDefault="00AD7640" w:rsidP="00657CB6">
      <w:pPr>
        <w:jc w:val="both"/>
        <w:rPr>
          <w:rFonts w:ascii="Calibri" w:hAnsi="Calibri"/>
          <w:sz w:val="22"/>
          <w:szCs w:val="22"/>
        </w:rPr>
      </w:pPr>
      <w:r w:rsidRPr="00F608FB">
        <w:rPr>
          <w:rFonts w:ascii="Calibri" w:hAnsi="Calibri"/>
          <w:sz w:val="22"/>
          <w:szCs w:val="22"/>
        </w:rPr>
        <w:t>Normal lateral compartment</w:t>
      </w:r>
    </w:p>
    <w:p w14:paraId="45B14158" w14:textId="676CB4BE" w:rsidR="00AD7640" w:rsidRPr="00F608FB" w:rsidRDefault="00AD7640" w:rsidP="00657CB6">
      <w:pPr>
        <w:jc w:val="both"/>
        <w:rPr>
          <w:rFonts w:ascii="Calibri" w:hAnsi="Calibri"/>
          <w:sz w:val="22"/>
          <w:szCs w:val="22"/>
        </w:rPr>
      </w:pPr>
      <w:r w:rsidRPr="00F608FB">
        <w:rPr>
          <w:rFonts w:ascii="Calibri" w:hAnsi="Calibri"/>
          <w:sz w:val="22"/>
          <w:szCs w:val="22"/>
        </w:rPr>
        <w:lastRenderedPageBreak/>
        <w:t>Clinically</w:t>
      </w:r>
      <w:r w:rsidR="0007797D" w:rsidRPr="00F608FB">
        <w:rPr>
          <w:rFonts w:ascii="Calibri" w:hAnsi="Calibri"/>
          <w:sz w:val="22"/>
          <w:szCs w:val="22"/>
        </w:rPr>
        <w:t xml:space="preserve"> silent </w:t>
      </w:r>
      <w:r w:rsidR="006E3997">
        <w:rPr>
          <w:rFonts w:ascii="Calibri" w:hAnsi="Calibri"/>
          <w:sz w:val="22"/>
          <w:szCs w:val="22"/>
        </w:rPr>
        <w:t>patello</w:t>
      </w:r>
      <w:r w:rsidRPr="00F608FB">
        <w:rPr>
          <w:rFonts w:ascii="Calibri" w:hAnsi="Calibri"/>
          <w:sz w:val="22"/>
          <w:szCs w:val="22"/>
        </w:rPr>
        <w:t>femoral compartment</w:t>
      </w:r>
    </w:p>
    <w:p w14:paraId="75DF9C52" w14:textId="49A240BC" w:rsidR="00AD7640" w:rsidRPr="00F608FB" w:rsidRDefault="00AD7640" w:rsidP="00657CB6">
      <w:pPr>
        <w:jc w:val="both"/>
        <w:rPr>
          <w:rFonts w:ascii="Calibri" w:hAnsi="Calibri"/>
          <w:sz w:val="22"/>
          <w:szCs w:val="22"/>
        </w:rPr>
      </w:pPr>
      <w:r w:rsidRPr="00F608FB">
        <w:rPr>
          <w:rFonts w:ascii="Calibri" w:hAnsi="Calibri"/>
          <w:sz w:val="22"/>
          <w:szCs w:val="22"/>
        </w:rPr>
        <w:t>FFD &lt;10</w:t>
      </w:r>
      <w:r w:rsidR="0007797D" w:rsidRPr="00F608FB">
        <w:rPr>
          <w:rFonts w:ascii="Calibri" w:hAnsi="Calibri"/>
          <w:sz w:val="22"/>
          <w:szCs w:val="22"/>
        </w:rPr>
        <w:t>⁰</w:t>
      </w:r>
    </w:p>
    <w:p w14:paraId="709A3773" w14:textId="2B3AC1F3" w:rsidR="0007797D" w:rsidRPr="00F608FB" w:rsidRDefault="0007797D" w:rsidP="00657CB6">
      <w:pPr>
        <w:jc w:val="both"/>
        <w:rPr>
          <w:rFonts w:ascii="Calibri" w:hAnsi="Calibri"/>
          <w:sz w:val="22"/>
          <w:szCs w:val="22"/>
        </w:rPr>
      </w:pPr>
      <w:r w:rsidRPr="00F608FB">
        <w:rPr>
          <w:rFonts w:ascii="Calibri" w:hAnsi="Calibri"/>
          <w:sz w:val="22"/>
          <w:szCs w:val="22"/>
        </w:rPr>
        <w:t>Flexion range &gt;110⁰</w:t>
      </w:r>
    </w:p>
    <w:p w14:paraId="5F6FFFB0" w14:textId="77777777" w:rsidR="00D21EFC" w:rsidRPr="00F608FB" w:rsidRDefault="00D21EFC" w:rsidP="00657CB6">
      <w:pPr>
        <w:jc w:val="both"/>
        <w:rPr>
          <w:rFonts w:ascii="Calibri" w:hAnsi="Calibri"/>
          <w:sz w:val="22"/>
          <w:szCs w:val="22"/>
        </w:rPr>
      </w:pPr>
    </w:p>
    <w:p w14:paraId="5BA9167A" w14:textId="0D777554" w:rsidR="00657CB6" w:rsidRPr="00F608FB" w:rsidRDefault="00657CB6" w:rsidP="00657CB6">
      <w:pPr>
        <w:jc w:val="both"/>
        <w:rPr>
          <w:rFonts w:ascii="Calibri" w:hAnsi="Calibri"/>
          <w:sz w:val="22"/>
          <w:szCs w:val="22"/>
        </w:rPr>
      </w:pPr>
      <w:r w:rsidRPr="00F608FB">
        <w:rPr>
          <w:rFonts w:ascii="Calibri" w:hAnsi="Calibri"/>
          <w:sz w:val="22"/>
          <w:szCs w:val="22"/>
        </w:rPr>
        <w:t>Exclusion criteria</w:t>
      </w:r>
      <w:r w:rsidR="00C26B77" w:rsidRPr="00F608FB">
        <w:rPr>
          <w:rFonts w:ascii="Calibri" w:hAnsi="Calibri"/>
          <w:sz w:val="22"/>
          <w:szCs w:val="22"/>
        </w:rPr>
        <w:t>:</w:t>
      </w:r>
    </w:p>
    <w:p w14:paraId="6E0EE4E8" w14:textId="7243B908" w:rsidR="002C6145" w:rsidRPr="00F608FB" w:rsidRDefault="00463163" w:rsidP="00657CB6">
      <w:pPr>
        <w:jc w:val="both"/>
        <w:rPr>
          <w:rFonts w:ascii="Calibri" w:hAnsi="Calibri"/>
          <w:sz w:val="22"/>
          <w:szCs w:val="22"/>
        </w:rPr>
      </w:pPr>
      <w:r w:rsidRPr="00F608FB">
        <w:rPr>
          <w:rFonts w:ascii="Calibri" w:hAnsi="Calibri"/>
          <w:sz w:val="22"/>
          <w:szCs w:val="22"/>
        </w:rPr>
        <w:t>OA</w:t>
      </w:r>
      <w:r w:rsidR="00524086" w:rsidRPr="00F608FB">
        <w:rPr>
          <w:rFonts w:ascii="Calibri" w:hAnsi="Calibri"/>
          <w:sz w:val="22"/>
          <w:szCs w:val="22"/>
        </w:rPr>
        <w:t xml:space="preserve"> </w:t>
      </w:r>
      <w:r w:rsidR="002C6145" w:rsidRPr="00F608FB">
        <w:rPr>
          <w:rFonts w:ascii="Calibri" w:hAnsi="Calibri"/>
          <w:sz w:val="22"/>
          <w:szCs w:val="22"/>
        </w:rPr>
        <w:t>of the lateral compartment</w:t>
      </w:r>
    </w:p>
    <w:p w14:paraId="56818DF3" w14:textId="2B1E5BAC" w:rsidR="00524086" w:rsidRPr="00F608FB" w:rsidRDefault="00AD7640" w:rsidP="00657CB6">
      <w:pPr>
        <w:jc w:val="both"/>
        <w:rPr>
          <w:rFonts w:ascii="Calibri" w:hAnsi="Calibri"/>
          <w:sz w:val="22"/>
          <w:szCs w:val="22"/>
        </w:rPr>
      </w:pPr>
      <w:r w:rsidRPr="00F608FB">
        <w:rPr>
          <w:rFonts w:ascii="Calibri" w:hAnsi="Calibri"/>
          <w:sz w:val="22"/>
          <w:szCs w:val="22"/>
        </w:rPr>
        <w:t xml:space="preserve">Symptomatic  </w:t>
      </w:r>
      <w:r w:rsidR="00D21EFC" w:rsidRPr="00F608FB">
        <w:rPr>
          <w:rFonts w:ascii="Calibri" w:hAnsi="Calibri"/>
          <w:sz w:val="22"/>
          <w:szCs w:val="22"/>
        </w:rPr>
        <w:t>O</w:t>
      </w:r>
      <w:r w:rsidR="00463163" w:rsidRPr="00F608FB">
        <w:rPr>
          <w:rFonts w:ascii="Calibri" w:hAnsi="Calibri"/>
          <w:sz w:val="22"/>
          <w:szCs w:val="22"/>
        </w:rPr>
        <w:t>A</w:t>
      </w:r>
      <w:r w:rsidR="00524086" w:rsidRPr="00F608FB">
        <w:rPr>
          <w:rFonts w:ascii="Calibri" w:hAnsi="Calibri"/>
          <w:sz w:val="22"/>
          <w:szCs w:val="22"/>
        </w:rPr>
        <w:t xml:space="preserve"> of the patellofemoral joint</w:t>
      </w:r>
    </w:p>
    <w:p w14:paraId="68BA9638" w14:textId="5EF0B525" w:rsidR="002C6145" w:rsidRPr="00F608FB" w:rsidRDefault="00D21EFC" w:rsidP="00657CB6">
      <w:pPr>
        <w:jc w:val="both"/>
        <w:rPr>
          <w:rFonts w:ascii="Calibri" w:hAnsi="Calibri"/>
          <w:sz w:val="22"/>
          <w:szCs w:val="22"/>
        </w:rPr>
      </w:pPr>
      <w:r w:rsidRPr="00F608FB">
        <w:rPr>
          <w:rFonts w:ascii="Calibri" w:hAnsi="Calibri"/>
          <w:sz w:val="22"/>
          <w:szCs w:val="22"/>
        </w:rPr>
        <w:t>R</w:t>
      </w:r>
      <w:r w:rsidR="002C6145" w:rsidRPr="00F608FB">
        <w:rPr>
          <w:rFonts w:ascii="Calibri" w:hAnsi="Calibri"/>
          <w:sz w:val="22"/>
          <w:szCs w:val="22"/>
        </w:rPr>
        <w:t>heumatoid arthritis</w:t>
      </w:r>
    </w:p>
    <w:p w14:paraId="6EFCF062" w14:textId="7A31A2BB" w:rsidR="002C6145" w:rsidRPr="00F608FB" w:rsidRDefault="00D21EFC" w:rsidP="00657CB6">
      <w:pPr>
        <w:jc w:val="both"/>
        <w:rPr>
          <w:rFonts w:ascii="Calibri" w:hAnsi="Calibri"/>
          <w:sz w:val="22"/>
          <w:szCs w:val="22"/>
        </w:rPr>
      </w:pPr>
      <w:r w:rsidRPr="00F608FB">
        <w:rPr>
          <w:rFonts w:ascii="Calibri" w:hAnsi="Calibri"/>
          <w:sz w:val="22"/>
          <w:szCs w:val="22"/>
        </w:rPr>
        <w:t xml:space="preserve">Previous </w:t>
      </w:r>
      <w:r w:rsidR="002C6145" w:rsidRPr="00F608FB">
        <w:rPr>
          <w:rFonts w:ascii="Calibri" w:hAnsi="Calibri"/>
          <w:sz w:val="22"/>
          <w:szCs w:val="22"/>
        </w:rPr>
        <w:t>infection in the knee</w:t>
      </w:r>
    </w:p>
    <w:p w14:paraId="328FCE38" w14:textId="7F985CB0" w:rsidR="002C6145" w:rsidRPr="00F608FB" w:rsidRDefault="00D21EFC" w:rsidP="00657CB6">
      <w:pPr>
        <w:jc w:val="both"/>
        <w:rPr>
          <w:rFonts w:ascii="Calibri" w:hAnsi="Calibri"/>
          <w:sz w:val="22"/>
          <w:szCs w:val="22"/>
        </w:rPr>
      </w:pPr>
      <w:r w:rsidRPr="00F608FB">
        <w:rPr>
          <w:rFonts w:ascii="Calibri" w:hAnsi="Calibri"/>
          <w:sz w:val="22"/>
          <w:szCs w:val="22"/>
        </w:rPr>
        <w:t>H</w:t>
      </w:r>
      <w:r w:rsidR="002C6145" w:rsidRPr="00F608FB">
        <w:rPr>
          <w:rFonts w:ascii="Calibri" w:hAnsi="Calibri"/>
          <w:sz w:val="22"/>
          <w:szCs w:val="22"/>
        </w:rPr>
        <w:t>istory of an angulated fracture of the lower extremity</w:t>
      </w:r>
    </w:p>
    <w:p w14:paraId="7463E69D" w14:textId="44BFF123" w:rsidR="00C26B77" w:rsidRPr="00F608FB" w:rsidRDefault="00D21EFC" w:rsidP="00657CB6">
      <w:pPr>
        <w:jc w:val="both"/>
        <w:rPr>
          <w:rFonts w:ascii="Calibri" w:hAnsi="Calibri"/>
          <w:sz w:val="22"/>
          <w:szCs w:val="22"/>
        </w:rPr>
      </w:pPr>
      <w:r w:rsidRPr="00F608FB">
        <w:rPr>
          <w:rFonts w:ascii="Calibri" w:hAnsi="Calibri"/>
          <w:sz w:val="22"/>
          <w:szCs w:val="22"/>
        </w:rPr>
        <w:t>F</w:t>
      </w:r>
      <w:r w:rsidR="002C6145" w:rsidRPr="00F608FB">
        <w:rPr>
          <w:rFonts w:ascii="Calibri" w:hAnsi="Calibri"/>
          <w:sz w:val="22"/>
          <w:szCs w:val="22"/>
        </w:rPr>
        <w:t>lexion contracture of &gt;10°</w:t>
      </w:r>
    </w:p>
    <w:p w14:paraId="1F77A45C" w14:textId="2FE3F8DF" w:rsidR="00C26B77" w:rsidRPr="00C26B77" w:rsidRDefault="00C26B77" w:rsidP="006D7F4B">
      <w:pPr>
        <w:pStyle w:val="ORIQLSubheading"/>
      </w:pPr>
      <w:r w:rsidRPr="00C26B77">
        <w:t>Recru</w:t>
      </w:r>
      <w:r>
        <w:t>itment</w:t>
      </w:r>
    </w:p>
    <w:p w14:paraId="3361435B" w14:textId="45EA3354" w:rsidR="00C26B77" w:rsidRDefault="00C26B77" w:rsidP="00C26B77">
      <w:pPr>
        <w:spacing w:line="276" w:lineRule="auto"/>
        <w:rPr>
          <w:rFonts w:ascii="Calibri" w:eastAsia="Calibri" w:hAnsi="Calibri" w:cs="Times New Roman"/>
          <w:color w:val="000000"/>
          <w:sz w:val="22"/>
          <w:szCs w:val="22"/>
          <w:lang w:val="en-AU"/>
        </w:rPr>
      </w:pPr>
      <w:r w:rsidRPr="00C26B77">
        <w:rPr>
          <w:rFonts w:ascii="Calibri" w:eastAsia="Calibri" w:hAnsi="Calibri" w:cs="Times New Roman"/>
          <w:color w:val="000000"/>
          <w:sz w:val="22"/>
          <w:szCs w:val="22"/>
          <w:lang w:val="en-AU"/>
        </w:rPr>
        <w:t>Potential participants who fit the selection criteria will be approached in clinic by the investigating surgeon and provided informatio</w:t>
      </w:r>
      <w:r w:rsidR="00463163">
        <w:rPr>
          <w:rFonts w:ascii="Calibri" w:eastAsia="Calibri" w:hAnsi="Calibri" w:cs="Times New Roman"/>
          <w:color w:val="000000"/>
          <w:sz w:val="22"/>
          <w:szCs w:val="22"/>
          <w:lang w:val="en-AU"/>
        </w:rPr>
        <w:t>n on the study, with</w:t>
      </w:r>
      <w:r w:rsidRPr="00C26B77">
        <w:rPr>
          <w:rFonts w:ascii="Calibri" w:eastAsia="Calibri" w:hAnsi="Calibri" w:cs="Times New Roman"/>
          <w:color w:val="000000"/>
          <w:sz w:val="22"/>
          <w:szCs w:val="22"/>
          <w:lang w:val="en-AU"/>
        </w:rPr>
        <w:t xml:space="preserve"> an opportunity to ask questions.  Willing participants will be asked to provide consent for inclusion.</w:t>
      </w:r>
    </w:p>
    <w:p w14:paraId="3475F07E" w14:textId="77777777" w:rsidR="00C26B77" w:rsidRPr="00C26B77" w:rsidRDefault="00C26B77" w:rsidP="006D7F4B">
      <w:pPr>
        <w:pStyle w:val="ORIQLSubheading"/>
      </w:pPr>
      <w:r w:rsidRPr="00C26B77">
        <w:t>Consent</w:t>
      </w:r>
    </w:p>
    <w:p w14:paraId="4023292A" w14:textId="1D3C9D67" w:rsidR="004E4199" w:rsidRPr="006D7F4B" w:rsidRDefault="00C26B77" w:rsidP="000F59E7">
      <w:pPr>
        <w:spacing w:line="276" w:lineRule="auto"/>
        <w:rPr>
          <w:rFonts w:ascii="Calibri" w:eastAsia="Calibri" w:hAnsi="Calibri" w:cs="Times New Roman"/>
          <w:color w:val="000000"/>
          <w:sz w:val="22"/>
          <w:szCs w:val="22"/>
          <w:lang w:val="en-AU"/>
        </w:rPr>
      </w:pPr>
      <w:r w:rsidRPr="00C26B77">
        <w:rPr>
          <w:rFonts w:ascii="Calibri" w:eastAsia="Calibri" w:hAnsi="Calibri" w:cs="Times New Roman"/>
          <w:color w:val="000000"/>
          <w:sz w:val="22"/>
          <w:szCs w:val="22"/>
          <w:lang w:val="en-AU"/>
        </w:rPr>
        <w:t>All participants shall provide consent prior to participation i</w:t>
      </w:r>
      <w:r w:rsidR="00463163">
        <w:rPr>
          <w:rFonts w:ascii="Calibri" w:eastAsia="Calibri" w:hAnsi="Calibri" w:cs="Times New Roman"/>
          <w:color w:val="000000"/>
          <w:sz w:val="22"/>
          <w:szCs w:val="22"/>
          <w:lang w:val="en-AU"/>
        </w:rPr>
        <w:t>n Gait Laboratory Assessment, they will also be required to consent for</w:t>
      </w:r>
      <w:r w:rsidRPr="00C26B77">
        <w:rPr>
          <w:rFonts w:ascii="Calibri" w:eastAsia="Calibri" w:hAnsi="Calibri" w:cs="Times New Roman"/>
          <w:color w:val="000000"/>
          <w:sz w:val="22"/>
          <w:szCs w:val="22"/>
          <w:lang w:val="en-AU"/>
        </w:rPr>
        <w:t xml:space="preserve"> investigators to</w:t>
      </w:r>
      <w:r w:rsidR="00463163">
        <w:rPr>
          <w:rFonts w:ascii="Calibri" w:eastAsia="Calibri" w:hAnsi="Calibri" w:cs="Times New Roman"/>
          <w:color w:val="000000"/>
          <w:sz w:val="22"/>
          <w:szCs w:val="22"/>
          <w:lang w:val="en-AU"/>
        </w:rPr>
        <w:t xml:space="preserve"> electronically capture and store information for current and future use in ORIQL research </w:t>
      </w:r>
      <w:r w:rsidRPr="00C26B77">
        <w:rPr>
          <w:rFonts w:ascii="Calibri" w:eastAsia="Calibri" w:hAnsi="Calibri" w:cs="Times New Roman"/>
          <w:color w:val="000000"/>
          <w:sz w:val="22"/>
          <w:szCs w:val="22"/>
          <w:lang w:val="en-AU"/>
        </w:rPr>
        <w:t xml:space="preserve">following HREC approval.  </w:t>
      </w:r>
    </w:p>
    <w:p w14:paraId="4F68EADD" w14:textId="77777777" w:rsidR="006E3997" w:rsidRDefault="004E4199" w:rsidP="006D7F4B">
      <w:pPr>
        <w:pStyle w:val="ORIQLSubheading"/>
      </w:pPr>
      <w:r>
        <w:t>Randomisation</w:t>
      </w:r>
    </w:p>
    <w:p w14:paraId="33F27590" w14:textId="26B0CD54" w:rsidR="006E3997" w:rsidRDefault="006E3997" w:rsidP="006D7F4B">
      <w:pPr>
        <w:pStyle w:val="ORIQLSubheading"/>
        <w:rPr>
          <w:rFonts w:ascii="Calibri" w:eastAsia="Calibri" w:hAnsi="Calibri" w:cs="Times New Roman"/>
          <w:b w:val="0"/>
          <w:bCs w:val="0"/>
          <w:i w:val="0"/>
          <w:color w:val="000000"/>
        </w:rPr>
      </w:pPr>
      <w:r w:rsidRPr="006E3997">
        <w:rPr>
          <w:rFonts w:ascii="Calibri" w:eastAsia="Calibri" w:hAnsi="Calibri" w:cs="Times New Roman"/>
          <w:b w:val="0"/>
          <w:bCs w:val="0"/>
          <w:i w:val="0"/>
          <w:color w:val="000000"/>
        </w:rPr>
        <w:t>Randomization will be performed at the time of patient consent during the initial consult at the clinic. Randomization at this time-point will enable the surgeon to plan his surgical approach and calculate the pre-operative corrections.  Sequentially numbered sealed envelopes will be used to assign treatment according to the patients’ study enrolment number, identified at recruitment.</w:t>
      </w:r>
    </w:p>
    <w:p w14:paraId="09134603" w14:textId="7794E03D" w:rsidR="000F59E7" w:rsidRPr="000F59E7" w:rsidRDefault="000F59E7" w:rsidP="006D7F4B">
      <w:pPr>
        <w:pStyle w:val="ORIQLSubheading"/>
      </w:pPr>
      <w:r w:rsidRPr="000F59E7">
        <w:t>Time points</w:t>
      </w:r>
    </w:p>
    <w:p w14:paraId="592D9CE6" w14:textId="4BCFA55A" w:rsidR="000F59E7" w:rsidRDefault="000F59E7" w:rsidP="000F59E7">
      <w:pPr>
        <w:spacing w:line="276" w:lineRule="auto"/>
        <w:rPr>
          <w:rFonts w:ascii="Calibri" w:eastAsia="Calibri" w:hAnsi="Calibri" w:cs="Times New Roman"/>
          <w:color w:val="000000"/>
          <w:sz w:val="22"/>
          <w:szCs w:val="22"/>
          <w:lang w:val="en-AU"/>
        </w:rPr>
      </w:pPr>
      <w:r w:rsidRPr="000F59E7">
        <w:rPr>
          <w:rFonts w:ascii="Calibri" w:eastAsia="Calibri" w:hAnsi="Calibri" w:cs="Times New Roman"/>
          <w:color w:val="000000"/>
          <w:sz w:val="22"/>
          <w:szCs w:val="22"/>
          <w:lang w:val="en-AU"/>
        </w:rPr>
        <w:t xml:space="preserve">Participants will undergo two assessments in the Gait Laboratory. One assessment will be performed at least within four weeks before the surgery and a second at least six months after the surgery to compare with the first. Patients </w:t>
      </w:r>
      <w:r w:rsidR="00237C16">
        <w:rPr>
          <w:rFonts w:ascii="Calibri" w:eastAsia="Calibri" w:hAnsi="Calibri" w:cs="Times New Roman"/>
          <w:color w:val="000000"/>
          <w:sz w:val="22"/>
          <w:szCs w:val="22"/>
          <w:lang w:val="en-AU"/>
        </w:rPr>
        <w:t>will undergo two X-ray</w:t>
      </w:r>
      <w:r w:rsidRPr="000F59E7">
        <w:rPr>
          <w:rFonts w:ascii="Calibri" w:eastAsia="Calibri" w:hAnsi="Calibri" w:cs="Times New Roman"/>
          <w:color w:val="000000"/>
          <w:sz w:val="22"/>
          <w:szCs w:val="22"/>
          <w:lang w:val="en-AU"/>
        </w:rPr>
        <w:t xml:space="preserve"> assessments at least within four weeks before the surgery and a second at least six months after the surgery to compare with the first. Patient reported outcomes measures will be taken before surgery, at six months after surgery and at the yearly mark.</w:t>
      </w:r>
    </w:p>
    <w:p w14:paraId="45E9197E" w14:textId="77777777" w:rsidR="000F59E7" w:rsidRDefault="000F59E7" w:rsidP="000F59E7">
      <w:pPr>
        <w:spacing w:line="276" w:lineRule="auto"/>
        <w:rPr>
          <w:rFonts w:ascii="Calibri" w:eastAsia="Calibri" w:hAnsi="Calibri" w:cs="Times New Roman"/>
          <w:color w:val="000000"/>
          <w:sz w:val="22"/>
          <w:szCs w:val="22"/>
          <w:lang w:val="en-AU"/>
        </w:rPr>
      </w:pPr>
    </w:p>
    <w:p w14:paraId="7A003B16" w14:textId="77777777" w:rsidR="00450CC4" w:rsidRDefault="00450CC4" w:rsidP="000F59E7">
      <w:pPr>
        <w:spacing w:line="276" w:lineRule="auto"/>
        <w:rPr>
          <w:rFonts w:ascii="Calibri" w:eastAsia="Calibri" w:hAnsi="Calibri" w:cs="Times New Roman"/>
          <w:color w:val="000000"/>
          <w:sz w:val="22"/>
          <w:szCs w:val="22"/>
          <w:lang w:val="en-AU"/>
        </w:rPr>
      </w:pPr>
    </w:p>
    <w:p w14:paraId="75E7A995" w14:textId="77777777" w:rsidR="00450CC4" w:rsidRDefault="00450CC4" w:rsidP="000F59E7">
      <w:pPr>
        <w:spacing w:line="276" w:lineRule="auto"/>
        <w:rPr>
          <w:rFonts w:ascii="Calibri" w:eastAsia="Calibri" w:hAnsi="Calibri" w:cs="Times New Roman"/>
          <w:color w:val="000000"/>
          <w:sz w:val="22"/>
          <w:szCs w:val="22"/>
          <w:lang w:val="en-AU"/>
        </w:rPr>
      </w:pPr>
    </w:p>
    <w:p w14:paraId="5361BD3A" w14:textId="77777777" w:rsidR="00450CC4" w:rsidRDefault="00450CC4" w:rsidP="000F59E7">
      <w:pPr>
        <w:spacing w:line="276" w:lineRule="auto"/>
        <w:rPr>
          <w:rFonts w:ascii="Calibri" w:eastAsia="Calibri" w:hAnsi="Calibri" w:cs="Times New Roman"/>
          <w:color w:val="000000"/>
          <w:sz w:val="22"/>
          <w:szCs w:val="22"/>
          <w:lang w:val="en-AU"/>
        </w:rPr>
      </w:pPr>
    </w:p>
    <w:p w14:paraId="67A53CE6" w14:textId="77777777" w:rsidR="00450CC4" w:rsidRDefault="00450CC4" w:rsidP="000F59E7">
      <w:pPr>
        <w:spacing w:line="276" w:lineRule="auto"/>
        <w:rPr>
          <w:rFonts w:ascii="Calibri" w:eastAsia="Calibri" w:hAnsi="Calibri" w:cs="Times New Roman"/>
          <w:color w:val="000000"/>
          <w:sz w:val="22"/>
          <w:szCs w:val="22"/>
          <w:lang w:val="en-AU"/>
        </w:rPr>
      </w:pPr>
    </w:p>
    <w:p w14:paraId="491E33CC" w14:textId="77777777" w:rsidR="00450CC4" w:rsidRDefault="00450CC4" w:rsidP="000F59E7">
      <w:pPr>
        <w:spacing w:line="276" w:lineRule="auto"/>
        <w:rPr>
          <w:rFonts w:ascii="Calibri" w:eastAsia="Calibri" w:hAnsi="Calibri" w:cs="Times New Roman"/>
          <w:color w:val="000000"/>
          <w:sz w:val="22"/>
          <w:szCs w:val="22"/>
          <w:lang w:val="en-AU"/>
        </w:rPr>
      </w:pPr>
    </w:p>
    <w:p w14:paraId="26B5F6B2" w14:textId="77777777" w:rsidR="00450CC4" w:rsidRDefault="00450CC4" w:rsidP="000F59E7">
      <w:pPr>
        <w:spacing w:line="276" w:lineRule="auto"/>
        <w:rPr>
          <w:rFonts w:ascii="Calibri" w:eastAsia="Calibri" w:hAnsi="Calibri" w:cs="Times New Roman"/>
          <w:color w:val="000000"/>
          <w:sz w:val="22"/>
          <w:szCs w:val="22"/>
          <w:lang w:val="en-AU"/>
        </w:rPr>
      </w:pPr>
    </w:p>
    <w:p w14:paraId="2DC5DF7C" w14:textId="77777777" w:rsidR="00450CC4" w:rsidRDefault="00450CC4" w:rsidP="000F59E7">
      <w:pPr>
        <w:spacing w:line="276" w:lineRule="auto"/>
        <w:rPr>
          <w:rFonts w:ascii="Calibri" w:eastAsia="Calibri" w:hAnsi="Calibri" w:cs="Times New Roman"/>
          <w:color w:val="000000"/>
          <w:sz w:val="22"/>
          <w:szCs w:val="22"/>
          <w:lang w:val="en-AU"/>
        </w:rPr>
      </w:pPr>
    </w:p>
    <w:p w14:paraId="1B1B6334" w14:textId="77777777" w:rsidR="00450CC4" w:rsidRDefault="00450CC4" w:rsidP="000F59E7">
      <w:pPr>
        <w:spacing w:line="276" w:lineRule="auto"/>
        <w:rPr>
          <w:rFonts w:ascii="Calibri" w:eastAsia="Calibri" w:hAnsi="Calibri" w:cs="Times New Roman"/>
          <w:color w:val="000000"/>
          <w:sz w:val="22"/>
          <w:szCs w:val="22"/>
          <w:lang w:val="en-AU"/>
        </w:rPr>
      </w:pPr>
    </w:p>
    <w:p w14:paraId="04B97C7D" w14:textId="77777777" w:rsidR="00450CC4" w:rsidRPr="000F59E7" w:rsidRDefault="00450CC4" w:rsidP="000F59E7">
      <w:pPr>
        <w:spacing w:line="276" w:lineRule="auto"/>
        <w:rPr>
          <w:rFonts w:ascii="Calibri" w:eastAsia="Calibri" w:hAnsi="Calibri" w:cs="Times New Roman"/>
          <w:color w:val="000000"/>
          <w:sz w:val="22"/>
          <w:szCs w:val="22"/>
          <w:lang w:val="en-AU"/>
        </w:rPr>
      </w:pPr>
    </w:p>
    <w:tbl>
      <w:tblPr>
        <w:tblW w:w="8931" w:type="dxa"/>
        <w:jc w:val="center"/>
        <w:tblInd w:w="108" w:type="dxa"/>
        <w:tblLayout w:type="fixed"/>
        <w:tblLook w:val="04A0" w:firstRow="1" w:lastRow="0" w:firstColumn="1" w:lastColumn="0" w:noHBand="0" w:noVBand="1"/>
      </w:tblPr>
      <w:tblGrid>
        <w:gridCol w:w="2127"/>
        <w:gridCol w:w="1134"/>
        <w:gridCol w:w="1275"/>
        <w:gridCol w:w="1418"/>
        <w:gridCol w:w="1276"/>
        <w:gridCol w:w="1701"/>
      </w:tblGrid>
      <w:tr w:rsidR="00CA7050" w:rsidRPr="00764F5B" w14:paraId="6EB57F75" w14:textId="77777777" w:rsidTr="00CA7050">
        <w:trPr>
          <w:trHeight w:val="436"/>
          <w:jc w:val="center"/>
        </w:trPr>
        <w:tc>
          <w:tcPr>
            <w:tcW w:w="2127" w:type="dxa"/>
            <w:tcBorders>
              <w:top w:val="nil"/>
              <w:left w:val="nil"/>
              <w:bottom w:val="nil"/>
              <w:right w:val="nil"/>
            </w:tcBorders>
            <w:shd w:val="clear" w:color="auto" w:fill="auto"/>
            <w:noWrap/>
            <w:vAlign w:val="bottom"/>
          </w:tcPr>
          <w:p w14:paraId="10CD1152" w14:textId="77777777" w:rsidR="00CA7050" w:rsidRPr="00764F5B" w:rsidRDefault="00CA7050" w:rsidP="008416DB">
            <w:pPr>
              <w:rPr>
                <w:rFonts w:ascii="Calibri" w:hAnsi="Calibri"/>
                <w:color w:val="000000"/>
                <w:sz w:val="22"/>
                <w:szCs w:val="22"/>
                <w:lang w:val="en-US"/>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E2D1D" w14:textId="77777777" w:rsidR="00CA7050" w:rsidRPr="00764F5B" w:rsidRDefault="00CA7050" w:rsidP="008416DB">
            <w:pPr>
              <w:jc w:val="center"/>
              <w:rPr>
                <w:rFonts w:ascii="Calibri" w:hAnsi="Calibri"/>
                <w:b/>
                <w:bCs/>
                <w:color w:val="000000"/>
                <w:lang w:val="en-US"/>
              </w:rPr>
            </w:pPr>
            <w:r w:rsidRPr="00764F5B">
              <w:rPr>
                <w:rFonts w:ascii="Calibri" w:hAnsi="Calibri"/>
                <w:b/>
                <w:bCs/>
                <w:color w:val="000000"/>
                <w:lang w:val="en-US"/>
              </w:rPr>
              <w:t>Study Visits</w:t>
            </w:r>
          </w:p>
        </w:tc>
      </w:tr>
      <w:tr w:rsidR="00CA7050" w:rsidRPr="00764F5B" w14:paraId="2E81186A" w14:textId="77777777" w:rsidTr="00CA7050">
        <w:trPr>
          <w:trHeight w:val="436"/>
          <w:jc w:val="center"/>
        </w:trPr>
        <w:tc>
          <w:tcPr>
            <w:tcW w:w="2127" w:type="dxa"/>
            <w:tcBorders>
              <w:top w:val="nil"/>
              <w:left w:val="nil"/>
              <w:bottom w:val="nil"/>
              <w:right w:val="nil"/>
            </w:tcBorders>
            <w:shd w:val="clear" w:color="auto" w:fill="auto"/>
            <w:noWrap/>
            <w:vAlign w:val="bottom"/>
          </w:tcPr>
          <w:p w14:paraId="43E7A81C" w14:textId="77777777" w:rsidR="00CA7050" w:rsidRPr="00764F5B" w:rsidRDefault="00CA7050" w:rsidP="008416DB">
            <w:pPr>
              <w:rPr>
                <w:rFonts w:ascii="Calibri" w:hAnsi="Calibri"/>
                <w:color w:val="000000"/>
                <w:sz w:val="22"/>
                <w:szCs w:val="22"/>
                <w:lang w:val="en-US"/>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92916B6" w14:textId="77777777" w:rsidR="00CA7050" w:rsidRPr="00764F5B" w:rsidRDefault="00CA7050" w:rsidP="008416DB">
            <w:pPr>
              <w:jc w:val="center"/>
              <w:rPr>
                <w:rFonts w:ascii="Calibri" w:hAnsi="Calibri"/>
                <w:color w:val="000000"/>
                <w:lang w:val="en-US"/>
              </w:rPr>
            </w:pPr>
            <w:r>
              <w:rPr>
                <w:rFonts w:ascii="Calibri" w:hAnsi="Calibri"/>
                <w:color w:val="000000"/>
                <w:lang w:val="en-US"/>
              </w:rPr>
              <w:t>Pre-S</w:t>
            </w:r>
            <w:r w:rsidRPr="00764F5B">
              <w:rPr>
                <w:rFonts w:ascii="Calibri" w:hAnsi="Calibri"/>
                <w:color w:val="000000"/>
                <w:lang w:val="en-US"/>
              </w:rPr>
              <w:t>urgery</w:t>
            </w:r>
          </w:p>
        </w:tc>
        <w:tc>
          <w:tcPr>
            <w:tcW w:w="1275" w:type="dxa"/>
            <w:tcBorders>
              <w:top w:val="nil"/>
              <w:left w:val="nil"/>
              <w:bottom w:val="single" w:sz="4" w:space="0" w:color="auto"/>
              <w:right w:val="single" w:sz="4" w:space="0" w:color="auto"/>
            </w:tcBorders>
            <w:shd w:val="clear" w:color="auto" w:fill="auto"/>
            <w:noWrap/>
            <w:vAlign w:val="center"/>
          </w:tcPr>
          <w:p w14:paraId="2859041C" w14:textId="77777777" w:rsidR="00CA7050" w:rsidRPr="00764F5B" w:rsidRDefault="00CA7050" w:rsidP="008416DB">
            <w:pPr>
              <w:jc w:val="center"/>
              <w:rPr>
                <w:rFonts w:ascii="Calibri" w:hAnsi="Calibri"/>
                <w:color w:val="000000"/>
                <w:lang w:val="en-US"/>
              </w:rPr>
            </w:pPr>
            <w:r w:rsidRPr="00764F5B">
              <w:rPr>
                <w:rFonts w:ascii="Calibri" w:hAnsi="Calibri"/>
                <w:color w:val="000000"/>
                <w:lang w:val="en-US"/>
              </w:rPr>
              <w:t>Surgery</w:t>
            </w:r>
          </w:p>
        </w:tc>
        <w:tc>
          <w:tcPr>
            <w:tcW w:w="1418" w:type="dxa"/>
            <w:tcBorders>
              <w:top w:val="nil"/>
              <w:left w:val="nil"/>
              <w:bottom w:val="single" w:sz="4" w:space="0" w:color="auto"/>
              <w:right w:val="single" w:sz="4" w:space="0" w:color="auto"/>
            </w:tcBorders>
            <w:shd w:val="clear" w:color="auto" w:fill="auto"/>
            <w:noWrap/>
            <w:vAlign w:val="center"/>
          </w:tcPr>
          <w:p w14:paraId="79FF5E4A" w14:textId="77777777" w:rsidR="00CA7050" w:rsidRPr="00764F5B" w:rsidRDefault="00CA7050" w:rsidP="008416DB">
            <w:pPr>
              <w:jc w:val="center"/>
              <w:rPr>
                <w:rFonts w:ascii="Calibri" w:hAnsi="Calibri"/>
                <w:color w:val="000000"/>
                <w:lang w:val="en-US"/>
              </w:rPr>
            </w:pPr>
            <w:r>
              <w:rPr>
                <w:rFonts w:ascii="Calibri" w:hAnsi="Calibri"/>
                <w:color w:val="000000"/>
                <w:lang w:val="en-US"/>
              </w:rPr>
              <w:t>6</w:t>
            </w:r>
            <w:r w:rsidRPr="00764F5B">
              <w:rPr>
                <w:rFonts w:ascii="Calibri" w:hAnsi="Calibri"/>
                <w:color w:val="000000"/>
                <w:lang w:val="en-US"/>
              </w:rPr>
              <w:t xml:space="preserve"> weeks</w:t>
            </w:r>
            <w:r>
              <w:rPr>
                <w:rFonts w:ascii="Calibri" w:hAnsi="Calibri"/>
                <w:color w:val="000000"/>
                <w:lang w:val="en-US"/>
              </w:rPr>
              <w:t xml:space="preserve"> later</w:t>
            </w:r>
          </w:p>
        </w:tc>
        <w:tc>
          <w:tcPr>
            <w:tcW w:w="1276" w:type="dxa"/>
            <w:tcBorders>
              <w:top w:val="single" w:sz="4" w:space="0" w:color="auto"/>
              <w:left w:val="single" w:sz="4" w:space="0" w:color="auto"/>
              <w:bottom w:val="single" w:sz="4" w:space="0" w:color="auto"/>
              <w:right w:val="single" w:sz="4" w:space="0" w:color="auto"/>
            </w:tcBorders>
            <w:vAlign w:val="center"/>
          </w:tcPr>
          <w:p w14:paraId="54D13EF5" w14:textId="77777777" w:rsidR="00CA7050" w:rsidRDefault="00CA7050" w:rsidP="008416DB">
            <w:pPr>
              <w:jc w:val="center"/>
              <w:rPr>
                <w:rFonts w:ascii="Calibri" w:hAnsi="Calibri"/>
                <w:color w:val="000000"/>
                <w:lang w:val="en-US"/>
              </w:rPr>
            </w:pPr>
            <w:r>
              <w:rPr>
                <w:rFonts w:ascii="Calibri" w:hAnsi="Calibri"/>
                <w:color w:val="000000"/>
                <w:lang w:val="en-US"/>
              </w:rPr>
              <w:t>6 months later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9236D" w14:textId="77777777" w:rsidR="00CA7050" w:rsidRPr="00764F5B" w:rsidRDefault="00CA7050" w:rsidP="008416DB">
            <w:pPr>
              <w:jc w:val="center"/>
              <w:rPr>
                <w:rFonts w:ascii="Calibri" w:hAnsi="Calibri"/>
                <w:color w:val="000000"/>
                <w:lang w:val="en-US"/>
              </w:rPr>
            </w:pPr>
            <w:r>
              <w:rPr>
                <w:rFonts w:ascii="Calibri" w:hAnsi="Calibri"/>
                <w:color w:val="000000"/>
                <w:lang w:val="en-US"/>
              </w:rPr>
              <w:t>12 months later</w:t>
            </w:r>
          </w:p>
        </w:tc>
      </w:tr>
      <w:tr w:rsidR="00CA7050" w:rsidRPr="00764F5B" w14:paraId="2EC38082" w14:textId="77777777" w:rsidTr="00CA7050">
        <w:trPr>
          <w:trHeight w:val="436"/>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2721A" w14:textId="77777777" w:rsidR="00CA7050" w:rsidRPr="00764F5B" w:rsidRDefault="00CA7050" w:rsidP="008416DB">
            <w:pPr>
              <w:rPr>
                <w:rFonts w:ascii="Calibri" w:hAnsi="Calibri"/>
                <w:color w:val="000000"/>
                <w:lang w:val="en-US"/>
              </w:rPr>
            </w:pPr>
            <w:r w:rsidRPr="00764F5B">
              <w:rPr>
                <w:rFonts w:ascii="Calibri" w:hAnsi="Calibri"/>
                <w:color w:val="000000"/>
                <w:lang w:val="en-US"/>
              </w:rPr>
              <w:t>Informed Consent</w:t>
            </w:r>
          </w:p>
        </w:tc>
        <w:tc>
          <w:tcPr>
            <w:tcW w:w="1134" w:type="dxa"/>
            <w:tcBorders>
              <w:top w:val="nil"/>
              <w:left w:val="nil"/>
              <w:bottom w:val="single" w:sz="4" w:space="0" w:color="auto"/>
              <w:right w:val="single" w:sz="4" w:space="0" w:color="auto"/>
            </w:tcBorders>
            <w:shd w:val="clear" w:color="auto" w:fill="auto"/>
            <w:noWrap/>
            <w:vAlign w:val="center"/>
          </w:tcPr>
          <w:p w14:paraId="72300FE2"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val="restart"/>
            <w:tcBorders>
              <w:top w:val="nil"/>
              <w:left w:val="nil"/>
              <w:right w:val="single" w:sz="4" w:space="0" w:color="auto"/>
            </w:tcBorders>
            <w:shd w:val="clear" w:color="auto" w:fill="auto"/>
            <w:noWrap/>
            <w:vAlign w:val="center"/>
          </w:tcPr>
          <w:p w14:paraId="38DE3309" w14:textId="77777777" w:rsidR="00CA7050" w:rsidRPr="00764F5B" w:rsidRDefault="00CA7050" w:rsidP="008416DB">
            <w:pPr>
              <w:jc w:val="center"/>
              <w:rPr>
                <w:rFonts w:ascii="Calibri" w:hAnsi="Calibri"/>
                <w:color w:val="000000"/>
                <w:sz w:val="22"/>
                <w:szCs w:val="22"/>
                <w:lang w:val="en-US"/>
              </w:rPr>
            </w:pPr>
            <w:r>
              <w:rPr>
                <w:rFonts w:ascii="Calibri" w:hAnsi="Calibri"/>
                <w:color w:val="000000"/>
                <w:sz w:val="22"/>
                <w:szCs w:val="22"/>
                <w:lang w:val="en-US"/>
              </w:rPr>
              <w:t>Surgery</w:t>
            </w:r>
          </w:p>
        </w:tc>
        <w:tc>
          <w:tcPr>
            <w:tcW w:w="1418" w:type="dxa"/>
            <w:tcBorders>
              <w:top w:val="nil"/>
              <w:left w:val="nil"/>
              <w:bottom w:val="single" w:sz="4" w:space="0" w:color="auto"/>
              <w:right w:val="single" w:sz="4" w:space="0" w:color="auto"/>
            </w:tcBorders>
            <w:shd w:val="clear" w:color="auto" w:fill="auto"/>
            <w:noWrap/>
            <w:vAlign w:val="center"/>
          </w:tcPr>
          <w:p w14:paraId="3F58A355" w14:textId="77777777" w:rsidR="00CA7050" w:rsidRPr="00764F5B" w:rsidRDefault="00CA7050" w:rsidP="008416DB">
            <w:pPr>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467EBD29" w14:textId="77777777" w:rsidR="00CA7050" w:rsidRPr="00764F5B" w:rsidRDefault="00CA7050" w:rsidP="008416DB">
            <w:pPr>
              <w:jc w:val="center"/>
              <w:rPr>
                <w:rFonts w:ascii="Calibri" w:hAnsi="Calibri"/>
                <w:color w:val="000000"/>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B9A1A" w14:textId="77777777" w:rsidR="00CA7050" w:rsidRPr="00764F5B" w:rsidRDefault="00CA7050" w:rsidP="008416DB">
            <w:pPr>
              <w:jc w:val="center"/>
              <w:rPr>
                <w:rFonts w:ascii="Calibri" w:hAnsi="Calibri"/>
                <w:color w:val="000000"/>
                <w:sz w:val="22"/>
                <w:szCs w:val="22"/>
                <w:lang w:val="en-US"/>
              </w:rPr>
            </w:pPr>
          </w:p>
        </w:tc>
      </w:tr>
      <w:tr w:rsidR="00CA7050" w:rsidRPr="00764F5B" w14:paraId="08568275" w14:textId="77777777" w:rsidTr="00CA7050">
        <w:trPr>
          <w:trHeight w:val="436"/>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D25C363" w14:textId="77777777" w:rsidR="00CA7050" w:rsidRPr="00764F5B" w:rsidRDefault="00CA7050" w:rsidP="008416DB">
            <w:pPr>
              <w:rPr>
                <w:rFonts w:ascii="Calibri" w:hAnsi="Calibri"/>
                <w:color w:val="000000"/>
                <w:lang w:val="en-US"/>
              </w:rPr>
            </w:pPr>
            <w:r>
              <w:rPr>
                <w:rFonts w:ascii="Calibri" w:hAnsi="Calibri"/>
                <w:color w:val="000000"/>
                <w:lang w:val="en-US"/>
              </w:rPr>
              <w:t>Clinical exam</w:t>
            </w:r>
          </w:p>
        </w:tc>
        <w:tc>
          <w:tcPr>
            <w:tcW w:w="1134" w:type="dxa"/>
            <w:tcBorders>
              <w:top w:val="nil"/>
              <w:left w:val="nil"/>
              <w:bottom w:val="single" w:sz="4" w:space="0" w:color="auto"/>
              <w:right w:val="single" w:sz="4" w:space="0" w:color="auto"/>
            </w:tcBorders>
            <w:shd w:val="clear" w:color="auto" w:fill="auto"/>
            <w:noWrap/>
            <w:vAlign w:val="center"/>
          </w:tcPr>
          <w:p w14:paraId="4CC55D5E"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4A9BC606" w14:textId="77777777" w:rsidR="00CA7050" w:rsidRPr="00764F5B" w:rsidRDefault="00CA7050" w:rsidP="008416DB">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5508BD14"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4B4A8D7E"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03D4"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bookmarkStart w:id="0" w:name="_GoBack"/>
        <w:bookmarkEnd w:id="0"/>
      </w:tr>
      <w:tr w:rsidR="00CA7050" w:rsidRPr="00764F5B" w14:paraId="2E4B237E" w14:textId="77777777" w:rsidTr="00CA7050">
        <w:trPr>
          <w:trHeight w:val="436"/>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9D77CF2" w14:textId="77777777" w:rsidR="00CA7050" w:rsidRDefault="00CA7050" w:rsidP="008416DB">
            <w:pPr>
              <w:rPr>
                <w:rFonts w:ascii="Calibri" w:hAnsi="Calibri"/>
                <w:color w:val="000000"/>
                <w:lang w:val="en-US"/>
              </w:rPr>
            </w:pPr>
            <w:r>
              <w:rPr>
                <w:rFonts w:ascii="Calibri" w:hAnsi="Calibri"/>
                <w:color w:val="000000"/>
                <w:lang w:val="en-US"/>
              </w:rPr>
              <w:t>Lab Assessment</w:t>
            </w:r>
          </w:p>
        </w:tc>
        <w:tc>
          <w:tcPr>
            <w:tcW w:w="1134" w:type="dxa"/>
            <w:tcBorders>
              <w:top w:val="nil"/>
              <w:left w:val="nil"/>
              <w:bottom w:val="single" w:sz="4" w:space="0" w:color="auto"/>
              <w:right w:val="single" w:sz="4" w:space="0" w:color="auto"/>
            </w:tcBorders>
            <w:shd w:val="clear" w:color="auto" w:fill="auto"/>
            <w:noWrap/>
            <w:vAlign w:val="center"/>
          </w:tcPr>
          <w:p w14:paraId="5AE143D4" w14:textId="77777777" w:rsidR="00CA7050" w:rsidRPr="00764F5B" w:rsidRDefault="00CA7050" w:rsidP="008416DB">
            <w:pPr>
              <w:jc w:val="center"/>
              <w:rPr>
                <w:rFonts w:ascii="Calibri" w:hAnsi="Calibri"/>
                <w:color w:val="000000"/>
                <w:sz w:val="22"/>
                <w:szCs w:val="22"/>
                <w:lang w:val="en-US"/>
              </w:rPr>
            </w:pPr>
            <w:r>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0EF3F5DC" w14:textId="77777777" w:rsidR="00CA7050" w:rsidRPr="00764F5B" w:rsidRDefault="00CA7050" w:rsidP="008416DB">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402BA43B" w14:textId="77777777" w:rsidR="00CA7050" w:rsidRPr="00764F5B" w:rsidRDefault="00CA7050" w:rsidP="008416DB">
            <w:pPr>
              <w:jc w:val="center"/>
              <w:rPr>
                <w:rFonts w:ascii="Calibri" w:hAnsi="Calibri"/>
                <w:color w:val="000000"/>
                <w:sz w:val="22"/>
                <w:szCs w:val="22"/>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54844D2" w14:textId="77777777" w:rsidR="00CA7050" w:rsidRPr="00764F5B" w:rsidRDefault="00CA7050" w:rsidP="008416DB">
            <w:pPr>
              <w:jc w:val="center"/>
              <w:rPr>
                <w:rFonts w:ascii="Calibri" w:hAnsi="Calibri"/>
                <w:color w:val="000000"/>
                <w:sz w:val="22"/>
                <w:szCs w:val="22"/>
                <w:lang w:val="en-US"/>
              </w:rPr>
            </w:pPr>
            <w:r>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520E1" w14:textId="77777777" w:rsidR="00CA7050" w:rsidRPr="00764F5B" w:rsidRDefault="00CA7050" w:rsidP="008416DB">
            <w:pPr>
              <w:jc w:val="center"/>
              <w:rPr>
                <w:rFonts w:ascii="Calibri" w:hAnsi="Calibri"/>
                <w:color w:val="000000"/>
                <w:sz w:val="22"/>
                <w:szCs w:val="22"/>
                <w:lang w:val="en-US"/>
              </w:rPr>
            </w:pPr>
          </w:p>
        </w:tc>
      </w:tr>
      <w:tr w:rsidR="00CA7050" w:rsidRPr="00764F5B" w14:paraId="38E4ED01" w14:textId="77777777" w:rsidTr="00CA7050">
        <w:trPr>
          <w:trHeight w:val="436"/>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39D64C1" w14:textId="77777777" w:rsidR="00CA7050" w:rsidRPr="00764F5B" w:rsidRDefault="00CA7050" w:rsidP="008416DB">
            <w:pPr>
              <w:rPr>
                <w:rFonts w:ascii="Calibri" w:hAnsi="Calibri"/>
                <w:color w:val="000000"/>
                <w:lang w:val="en-US"/>
              </w:rPr>
            </w:pPr>
            <w:r w:rsidRPr="00764F5B">
              <w:rPr>
                <w:rFonts w:ascii="Calibri" w:hAnsi="Calibri"/>
                <w:color w:val="000000"/>
                <w:lang w:val="en-US"/>
              </w:rPr>
              <w:t>Questionnaires</w:t>
            </w:r>
          </w:p>
        </w:tc>
        <w:tc>
          <w:tcPr>
            <w:tcW w:w="1134" w:type="dxa"/>
            <w:tcBorders>
              <w:top w:val="nil"/>
              <w:left w:val="nil"/>
              <w:bottom w:val="single" w:sz="4" w:space="0" w:color="auto"/>
              <w:right w:val="single" w:sz="4" w:space="0" w:color="auto"/>
            </w:tcBorders>
            <w:shd w:val="clear" w:color="auto" w:fill="auto"/>
            <w:noWrap/>
            <w:vAlign w:val="center"/>
          </w:tcPr>
          <w:p w14:paraId="182EFAA3"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right w:val="single" w:sz="4" w:space="0" w:color="auto"/>
            </w:tcBorders>
            <w:shd w:val="clear" w:color="auto" w:fill="auto"/>
            <w:noWrap/>
            <w:vAlign w:val="center"/>
          </w:tcPr>
          <w:p w14:paraId="5D51ED5F" w14:textId="77777777" w:rsidR="00CA7050" w:rsidRPr="00764F5B" w:rsidRDefault="00CA7050" w:rsidP="008416DB">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2B0C2B28"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0CE0689D"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A02AA"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r>
      <w:tr w:rsidR="00CA7050" w:rsidRPr="00764F5B" w14:paraId="75C9AC67" w14:textId="77777777" w:rsidTr="00CA7050">
        <w:trPr>
          <w:trHeight w:val="436"/>
          <w:jc w:val="center"/>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1651083" w14:textId="77777777" w:rsidR="00CA7050" w:rsidRPr="00764F5B" w:rsidRDefault="00CA7050" w:rsidP="008416DB">
            <w:pPr>
              <w:rPr>
                <w:rFonts w:ascii="Calibri" w:hAnsi="Calibri"/>
                <w:color w:val="000000"/>
                <w:lang w:val="en-US"/>
              </w:rPr>
            </w:pPr>
            <w:r w:rsidRPr="00764F5B">
              <w:rPr>
                <w:rFonts w:ascii="Calibri" w:hAnsi="Calibri"/>
                <w:color w:val="000000"/>
                <w:lang w:val="en-US"/>
              </w:rPr>
              <w:t>X-ray</w:t>
            </w:r>
          </w:p>
        </w:tc>
        <w:tc>
          <w:tcPr>
            <w:tcW w:w="1134" w:type="dxa"/>
            <w:tcBorders>
              <w:top w:val="nil"/>
              <w:left w:val="nil"/>
              <w:bottom w:val="single" w:sz="4" w:space="0" w:color="auto"/>
              <w:right w:val="single" w:sz="4" w:space="0" w:color="auto"/>
            </w:tcBorders>
            <w:shd w:val="clear" w:color="auto" w:fill="auto"/>
            <w:noWrap/>
            <w:vAlign w:val="center"/>
          </w:tcPr>
          <w:p w14:paraId="5D374090"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5" w:type="dxa"/>
            <w:vMerge/>
            <w:tcBorders>
              <w:left w:val="nil"/>
              <w:bottom w:val="single" w:sz="4" w:space="0" w:color="auto"/>
              <w:right w:val="single" w:sz="4" w:space="0" w:color="auto"/>
            </w:tcBorders>
            <w:shd w:val="clear" w:color="auto" w:fill="auto"/>
            <w:noWrap/>
            <w:vAlign w:val="center"/>
          </w:tcPr>
          <w:p w14:paraId="2BB4BF63" w14:textId="77777777" w:rsidR="00CA7050" w:rsidRPr="00764F5B" w:rsidRDefault="00CA7050" w:rsidP="008416DB">
            <w:pPr>
              <w:jc w:val="center"/>
              <w:rPr>
                <w:rFonts w:ascii="Calibri" w:hAnsi="Calibri"/>
                <w:color w:val="000000"/>
                <w:sz w:val="22"/>
                <w:szCs w:val="22"/>
                <w:lang w:val="en-US"/>
              </w:rPr>
            </w:pPr>
          </w:p>
        </w:tc>
        <w:tc>
          <w:tcPr>
            <w:tcW w:w="1418" w:type="dxa"/>
            <w:tcBorders>
              <w:top w:val="nil"/>
              <w:left w:val="nil"/>
              <w:bottom w:val="single" w:sz="4" w:space="0" w:color="auto"/>
              <w:right w:val="single" w:sz="4" w:space="0" w:color="auto"/>
            </w:tcBorders>
            <w:shd w:val="clear" w:color="auto" w:fill="auto"/>
            <w:noWrap/>
            <w:vAlign w:val="center"/>
          </w:tcPr>
          <w:p w14:paraId="501F0218"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14:paraId="50A03759" w14:textId="77777777" w:rsidR="00CA7050" w:rsidRPr="00764F5B" w:rsidRDefault="00CA7050" w:rsidP="008416DB">
            <w:pPr>
              <w:jc w:val="center"/>
              <w:rPr>
                <w:rFonts w:ascii="Calibri" w:hAnsi="Calibri"/>
                <w:color w:val="000000"/>
                <w:sz w:val="22"/>
                <w:szCs w:val="22"/>
                <w:lang w:val="en-US"/>
              </w:rPr>
            </w:pPr>
            <w:r>
              <w:rPr>
                <w:rFonts w:ascii="Calibri" w:hAnsi="Calibri"/>
                <w:color w:val="000000"/>
                <w:sz w:val="22"/>
                <w:szCs w:val="22"/>
                <w:lang w:val="en-US"/>
              </w:rPr>
              <w:t>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82900" w14:textId="77777777" w:rsidR="00CA7050" w:rsidRPr="00764F5B" w:rsidRDefault="00CA7050" w:rsidP="008416DB">
            <w:pPr>
              <w:jc w:val="center"/>
              <w:rPr>
                <w:rFonts w:ascii="Calibri" w:hAnsi="Calibri"/>
                <w:color w:val="000000"/>
                <w:sz w:val="22"/>
                <w:szCs w:val="22"/>
                <w:lang w:val="en-US"/>
              </w:rPr>
            </w:pPr>
            <w:r w:rsidRPr="00764F5B">
              <w:rPr>
                <w:rFonts w:ascii="Calibri" w:hAnsi="Calibri"/>
                <w:color w:val="000000"/>
                <w:sz w:val="22"/>
                <w:szCs w:val="22"/>
                <w:lang w:val="en-US"/>
              </w:rPr>
              <w:t>x</w:t>
            </w:r>
          </w:p>
        </w:tc>
      </w:tr>
    </w:tbl>
    <w:p w14:paraId="55CC9B4A" w14:textId="77777777" w:rsidR="000F59E7" w:rsidRDefault="000F59E7" w:rsidP="00CA7050">
      <w:pPr>
        <w:spacing w:line="276" w:lineRule="auto"/>
        <w:jc w:val="center"/>
        <w:rPr>
          <w:rFonts w:ascii="Calibri" w:eastAsia="Calibri" w:hAnsi="Calibri" w:cs="Times New Roman"/>
          <w:color w:val="000000"/>
          <w:sz w:val="22"/>
          <w:szCs w:val="22"/>
          <w:lang w:val="en-AU"/>
        </w:rPr>
      </w:pPr>
    </w:p>
    <w:p w14:paraId="4205C860" w14:textId="77777777" w:rsidR="00C26B77" w:rsidRPr="00C26B77" w:rsidRDefault="00C26B77" w:rsidP="006D7F4B">
      <w:pPr>
        <w:pStyle w:val="ORIQLSubheading"/>
      </w:pPr>
      <w:r w:rsidRPr="00C26B77">
        <w:t>Patient Information and Demographic Data</w:t>
      </w:r>
    </w:p>
    <w:p w14:paraId="05790575" w14:textId="396F278C" w:rsidR="000A4388" w:rsidRPr="006D7F4B" w:rsidRDefault="00C26B77" w:rsidP="006D7F4B">
      <w:pPr>
        <w:spacing w:line="276" w:lineRule="auto"/>
        <w:rPr>
          <w:rFonts w:ascii="Calibri" w:eastAsia="Calibri" w:hAnsi="Calibri" w:cs="Times New Roman"/>
          <w:color w:val="000000"/>
          <w:sz w:val="22"/>
          <w:szCs w:val="22"/>
          <w:lang w:val="en-AU"/>
        </w:rPr>
      </w:pPr>
      <w:r w:rsidRPr="00C26B77">
        <w:rPr>
          <w:rFonts w:ascii="Calibri" w:eastAsia="Calibri" w:hAnsi="Calibri" w:cs="Times New Roman"/>
          <w:iCs/>
          <w:color w:val="000000"/>
          <w:sz w:val="22"/>
          <w:szCs w:val="22"/>
          <w:lang w:val="en-AU"/>
        </w:rPr>
        <w:t xml:space="preserve">Patient information and demographic data will be gathered and used to identify patients during the study. </w:t>
      </w:r>
      <w:r w:rsidR="00463163">
        <w:rPr>
          <w:rFonts w:ascii="Calibri" w:eastAsia="Calibri" w:hAnsi="Calibri" w:cs="Times New Roman"/>
          <w:iCs/>
          <w:color w:val="000000"/>
          <w:sz w:val="22"/>
          <w:szCs w:val="22"/>
          <w:lang w:val="en-AU"/>
        </w:rPr>
        <w:t xml:space="preserve">Data will be pooled for statistical analysis in its de-identifiable form. </w:t>
      </w:r>
    </w:p>
    <w:p w14:paraId="4FC9E463" w14:textId="5AE97C88" w:rsidR="00657CB6" w:rsidRPr="003D5AD3" w:rsidRDefault="00657CB6" w:rsidP="006D7F4B">
      <w:pPr>
        <w:pStyle w:val="ORIQLHeading2"/>
      </w:pPr>
      <w:r w:rsidRPr="003D5AD3">
        <w:t xml:space="preserve">STUDY OUTCOMES </w:t>
      </w:r>
      <w:r w:rsidR="00450CC4">
        <w:t>s</w:t>
      </w:r>
    </w:p>
    <w:p w14:paraId="0F4B8FA6" w14:textId="7B8B28DA" w:rsidR="00657CB6" w:rsidRPr="00C26B77" w:rsidRDefault="00C26B77" w:rsidP="006D7F4B">
      <w:pPr>
        <w:pStyle w:val="ORIQLSubheading"/>
      </w:pPr>
      <w:r>
        <w:t>Gait Analysis (</w:t>
      </w:r>
      <w:r w:rsidR="00657CB6" w:rsidRPr="00C26B77">
        <w:t>Primary Outcome</w:t>
      </w:r>
      <w:r>
        <w:t>)</w:t>
      </w:r>
    </w:p>
    <w:p w14:paraId="30AF4742" w14:textId="11CD6D57" w:rsidR="000F59E7" w:rsidRDefault="00BA5D4E" w:rsidP="00657CB6">
      <w:pPr>
        <w:jc w:val="both"/>
        <w:rPr>
          <w:rFonts w:ascii="Calibri" w:eastAsia="Calibri" w:hAnsi="Calibri" w:cs="Times New Roman"/>
          <w:sz w:val="22"/>
          <w:szCs w:val="22"/>
          <w:lang w:val="en-AU"/>
        </w:rPr>
      </w:pPr>
      <w:r>
        <w:rPr>
          <w:rFonts w:ascii="Calibri" w:eastAsia="Calibri" w:hAnsi="Calibri" w:cs="Times New Roman"/>
          <w:sz w:val="22"/>
          <w:szCs w:val="22"/>
          <w:lang w:val="en-AU"/>
        </w:rPr>
        <w:t>The g</w:t>
      </w:r>
      <w:r w:rsidR="000F59E7" w:rsidRPr="000F59E7">
        <w:rPr>
          <w:rFonts w:ascii="Calibri" w:eastAsia="Calibri" w:hAnsi="Calibri" w:cs="Times New Roman"/>
          <w:sz w:val="22"/>
          <w:szCs w:val="22"/>
          <w:lang w:val="en-AU"/>
        </w:rPr>
        <w:t xml:space="preserve">ait assessment will be performed pre-operatively and at six months post-operatively at the James Cook University Gait Laboratory under the supervision and instruction of Dr Kenji </w:t>
      </w:r>
      <w:proofErr w:type="spellStart"/>
      <w:r w:rsidR="000F59E7" w:rsidRPr="000F59E7">
        <w:rPr>
          <w:rFonts w:ascii="Calibri" w:eastAsia="Calibri" w:hAnsi="Calibri" w:cs="Times New Roman"/>
          <w:sz w:val="22"/>
          <w:szCs w:val="22"/>
          <w:lang w:val="en-AU"/>
        </w:rPr>
        <w:t>Doma</w:t>
      </w:r>
      <w:proofErr w:type="spellEnd"/>
      <w:r w:rsidR="000F59E7" w:rsidRPr="000F59E7">
        <w:rPr>
          <w:rFonts w:ascii="Calibri" w:eastAsia="Calibri" w:hAnsi="Calibri" w:cs="Times New Roman"/>
          <w:sz w:val="22"/>
          <w:szCs w:val="22"/>
          <w:lang w:val="en-AU"/>
        </w:rPr>
        <w:t xml:space="preserve">. </w:t>
      </w:r>
      <w:r w:rsidR="000F59E7" w:rsidRPr="000F59E7">
        <w:rPr>
          <w:rFonts w:ascii="Calibri" w:eastAsia="Calibri" w:hAnsi="Calibri" w:cs="Times New Roman"/>
          <w:color w:val="000000"/>
          <w:sz w:val="22"/>
          <w:szCs w:val="22"/>
          <w:lang w:val="en-AU"/>
        </w:rPr>
        <w:t xml:space="preserve">Optical gait analysis (temporal-spatial gait parameters and lower limb gait characteristics) will be captured using VICON Nexus movement analysis system (eight infrared optical cameras, four AMTI force plates and 16 channel EMG). Reflective markers will be placed on anatomical landmarks on the pelvis, legs and feet.  These landmarks include upper leg, lower leg, foot, anterior and posterior iliac spine, greater trochanter, lateral knee, lateral and medial malleoli, head of the fifth metatarsal, head of the first metatarsal, and the calcaneus.  Lower limb muscle activation of the front and back muscles and gluteal muscles will be recorded during testing via surface electrodes. </w:t>
      </w:r>
      <w:r w:rsidR="000F59E7" w:rsidRPr="000F59E7">
        <w:rPr>
          <w:rFonts w:ascii="Calibri" w:eastAsia="Calibri" w:hAnsi="Calibri" w:cs="Times New Roman"/>
          <w:sz w:val="22"/>
          <w:szCs w:val="22"/>
          <w:lang w:val="en-AU"/>
        </w:rPr>
        <w:t xml:space="preserve">After leg length, a standing view of the markers, and weight are recorded, </w:t>
      </w:r>
      <w:r w:rsidR="000F59E7" w:rsidRPr="000F59E7">
        <w:rPr>
          <w:rFonts w:ascii="Calibri" w:eastAsia="Calibri" w:hAnsi="Calibri" w:cs="Times New Roman"/>
          <w:color w:val="000000"/>
          <w:sz w:val="22"/>
          <w:szCs w:val="22"/>
          <w:lang w:val="en-AU"/>
        </w:rPr>
        <w:t>biomechanical analysis will be conducted using various movement patterns including walking a</w:t>
      </w:r>
      <w:r w:rsidR="0041308B">
        <w:rPr>
          <w:rFonts w:ascii="Calibri" w:eastAsia="Calibri" w:hAnsi="Calibri" w:cs="Times New Roman"/>
          <w:color w:val="000000"/>
          <w:sz w:val="22"/>
          <w:szCs w:val="22"/>
          <w:lang w:val="en-AU"/>
        </w:rPr>
        <w:t xml:space="preserve"> set distance over level ground.</w:t>
      </w:r>
      <w:r w:rsidR="000F59E7" w:rsidRPr="000F59E7">
        <w:rPr>
          <w:rFonts w:ascii="Calibri" w:eastAsia="Calibri" w:hAnsi="Calibri" w:cs="Times New Roman"/>
          <w:color w:val="000000"/>
          <w:sz w:val="22"/>
          <w:szCs w:val="22"/>
          <w:lang w:val="en-AU"/>
        </w:rPr>
        <w:t xml:space="preserve"> </w:t>
      </w:r>
      <w:r w:rsidR="000F59E7" w:rsidRPr="000F59E7">
        <w:rPr>
          <w:rFonts w:ascii="Calibri" w:eastAsia="Calibri" w:hAnsi="Calibri" w:cs="Times New Roman"/>
          <w:sz w:val="22"/>
          <w:szCs w:val="22"/>
          <w:lang w:val="en-AU"/>
        </w:rPr>
        <w:t>Gait data will include adduction, abduction moments at the knee and the vertical ground-reaction force pattern.</w:t>
      </w:r>
    </w:p>
    <w:p w14:paraId="10E8666B" w14:textId="77777777" w:rsidR="008F66BF" w:rsidRPr="008F66BF" w:rsidRDefault="008F66BF" w:rsidP="00657CB6">
      <w:pPr>
        <w:jc w:val="both"/>
        <w:rPr>
          <w:rFonts w:ascii="Calibri" w:eastAsia="Calibri" w:hAnsi="Calibri" w:cs="Times New Roman"/>
          <w:sz w:val="22"/>
          <w:szCs w:val="22"/>
          <w:lang w:val="en-AU"/>
        </w:rPr>
      </w:pPr>
    </w:p>
    <w:p w14:paraId="5AB4356C" w14:textId="7C3B5EFF" w:rsidR="001E44F4" w:rsidRPr="00C26B77" w:rsidRDefault="001E44F4" w:rsidP="006D7F4B">
      <w:pPr>
        <w:pStyle w:val="ORIQLSubheading"/>
      </w:pPr>
      <w:r w:rsidRPr="00C26B77">
        <w:t>Functional Outcomes</w:t>
      </w:r>
      <w:r w:rsidR="00856268">
        <w:t xml:space="preserve"> (Secondary Outcome</w:t>
      </w:r>
      <w:r w:rsidR="00C26B77" w:rsidRPr="00C26B77">
        <w:t>)</w:t>
      </w:r>
    </w:p>
    <w:p w14:paraId="505F2711" w14:textId="2F7E9C6B" w:rsidR="001E44F4" w:rsidRPr="003D5AD3" w:rsidRDefault="006D7DA3" w:rsidP="001E44F4">
      <w:pPr>
        <w:pStyle w:val="ListParagraph"/>
        <w:numPr>
          <w:ilvl w:val="0"/>
          <w:numId w:val="1"/>
        </w:numPr>
        <w:jc w:val="both"/>
        <w:rPr>
          <w:rFonts w:ascii="Calibri" w:hAnsi="Calibri"/>
          <w:sz w:val="22"/>
          <w:szCs w:val="22"/>
        </w:rPr>
      </w:pPr>
      <w:r w:rsidRPr="003D5AD3">
        <w:rPr>
          <w:rFonts w:ascii="Calibri" w:hAnsi="Calibri"/>
          <w:sz w:val="22"/>
          <w:szCs w:val="22"/>
        </w:rPr>
        <w:t>T</w:t>
      </w:r>
      <w:r w:rsidR="001E44F4" w:rsidRPr="003D5AD3">
        <w:rPr>
          <w:rFonts w:ascii="Calibri" w:hAnsi="Calibri"/>
          <w:sz w:val="22"/>
          <w:szCs w:val="22"/>
        </w:rPr>
        <w:t>ype of osteotomy</w:t>
      </w:r>
    </w:p>
    <w:p w14:paraId="6D6A98F4" w14:textId="658490C3" w:rsidR="001E44F4" w:rsidRPr="003D5AD3" w:rsidRDefault="006D7DA3" w:rsidP="001E44F4">
      <w:pPr>
        <w:pStyle w:val="ListParagraph"/>
        <w:numPr>
          <w:ilvl w:val="0"/>
          <w:numId w:val="1"/>
        </w:numPr>
        <w:jc w:val="both"/>
        <w:rPr>
          <w:rFonts w:ascii="Calibri" w:hAnsi="Calibri"/>
          <w:sz w:val="22"/>
          <w:szCs w:val="22"/>
        </w:rPr>
      </w:pPr>
      <w:r w:rsidRPr="003D5AD3">
        <w:rPr>
          <w:rFonts w:ascii="Calibri" w:hAnsi="Calibri"/>
          <w:sz w:val="22"/>
          <w:szCs w:val="22"/>
        </w:rPr>
        <w:t>P</w:t>
      </w:r>
      <w:r w:rsidR="001E44F4" w:rsidRPr="003D5AD3">
        <w:rPr>
          <w:rFonts w:ascii="Calibri" w:hAnsi="Calibri"/>
          <w:sz w:val="22"/>
          <w:szCs w:val="22"/>
        </w:rPr>
        <w:t>re- and post- operative mobility</w:t>
      </w:r>
    </w:p>
    <w:p w14:paraId="2D7ACA6B" w14:textId="36D95CD8" w:rsidR="001E44F4" w:rsidRPr="003D5AD3" w:rsidRDefault="00237C16" w:rsidP="001E44F4">
      <w:pPr>
        <w:pStyle w:val="ListParagraph"/>
        <w:numPr>
          <w:ilvl w:val="0"/>
          <w:numId w:val="1"/>
        </w:numPr>
        <w:jc w:val="both"/>
        <w:rPr>
          <w:rFonts w:ascii="Calibri" w:hAnsi="Calibri"/>
          <w:sz w:val="22"/>
          <w:szCs w:val="22"/>
        </w:rPr>
      </w:pPr>
      <w:r>
        <w:rPr>
          <w:rFonts w:ascii="Calibri" w:hAnsi="Calibri"/>
          <w:sz w:val="22"/>
          <w:szCs w:val="22"/>
        </w:rPr>
        <w:t>ROM (</w:t>
      </w:r>
      <w:r w:rsidR="001E44F4" w:rsidRPr="003D5AD3">
        <w:rPr>
          <w:rFonts w:ascii="Calibri" w:hAnsi="Calibri"/>
          <w:sz w:val="22"/>
          <w:szCs w:val="22"/>
        </w:rPr>
        <w:t>measured by inclinometer</w:t>
      </w:r>
      <w:r>
        <w:rPr>
          <w:rFonts w:ascii="Calibri" w:hAnsi="Calibri"/>
          <w:sz w:val="22"/>
          <w:szCs w:val="22"/>
        </w:rPr>
        <w:t>)</w:t>
      </w:r>
    </w:p>
    <w:p w14:paraId="47ABAE58" w14:textId="3504BF1B" w:rsidR="001E44F4" w:rsidRPr="00C26B77" w:rsidRDefault="001E44F4" w:rsidP="00C26B77">
      <w:pPr>
        <w:pStyle w:val="ListParagraph"/>
        <w:numPr>
          <w:ilvl w:val="0"/>
          <w:numId w:val="1"/>
        </w:numPr>
        <w:jc w:val="both"/>
        <w:rPr>
          <w:rFonts w:ascii="Calibri" w:hAnsi="Calibri"/>
          <w:sz w:val="22"/>
          <w:szCs w:val="22"/>
        </w:rPr>
      </w:pPr>
      <w:r w:rsidRPr="003D5AD3">
        <w:rPr>
          <w:rFonts w:ascii="Calibri" w:hAnsi="Calibri"/>
          <w:sz w:val="22"/>
          <w:szCs w:val="22"/>
        </w:rPr>
        <w:t>Time to weight bear</w:t>
      </w:r>
      <w:r w:rsidR="00C26B77">
        <w:rPr>
          <w:rFonts w:ascii="Calibri" w:hAnsi="Calibri"/>
          <w:sz w:val="22"/>
          <w:szCs w:val="22"/>
        </w:rPr>
        <w:t xml:space="preserve"> (</w:t>
      </w:r>
      <w:r w:rsidRPr="00C26B77">
        <w:rPr>
          <w:rFonts w:ascii="Calibri" w:hAnsi="Calibri"/>
          <w:sz w:val="22"/>
          <w:szCs w:val="22"/>
        </w:rPr>
        <w:t>Defined as time, in days post operatively, that the patient was able to bear weight on the operated limb</w:t>
      </w:r>
      <w:r w:rsidR="00C26B77">
        <w:rPr>
          <w:rFonts w:ascii="Calibri" w:hAnsi="Calibri"/>
          <w:sz w:val="22"/>
          <w:szCs w:val="22"/>
        </w:rPr>
        <w:t>)</w:t>
      </w:r>
    </w:p>
    <w:p w14:paraId="2A85FF5C" w14:textId="71572ECF" w:rsidR="001E44F4" w:rsidRPr="00C26B77" w:rsidRDefault="001E44F4" w:rsidP="00C26B77">
      <w:pPr>
        <w:pStyle w:val="ListParagraph"/>
        <w:numPr>
          <w:ilvl w:val="0"/>
          <w:numId w:val="1"/>
        </w:numPr>
        <w:jc w:val="both"/>
        <w:rPr>
          <w:rFonts w:ascii="Calibri" w:hAnsi="Calibri"/>
          <w:sz w:val="22"/>
          <w:szCs w:val="22"/>
        </w:rPr>
      </w:pPr>
      <w:r w:rsidRPr="003D5AD3">
        <w:rPr>
          <w:rFonts w:ascii="Calibri" w:hAnsi="Calibri"/>
          <w:sz w:val="22"/>
          <w:szCs w:val="22"/>
        </w:rPr>
        <w:t>Time to weight bear without crutches</w:t>
      </w:r>
      <w:r w:rsidR="00C26B77">
        <w:rPr>
          <w:rFonts w:ascii="Calibri" w:hAnsi="Calibri"/>
          <w:sz w:val="22"/>
          <w:szCs w:val="22"/>
        </w:rPr>
        <w:t xml:space="preserve"> (</w:t>
      </w:r>
      <w:r w:rsidRPr="00C26B77">
        <w:rPr>
          <w:rFonts w:ascii="Calibri" w:hAnsi="Calibri"/>
          <w:sz w:val="22"/>
          <w:szCs w:val="22"/>
        </w:rPr>
        <w:t>Defined as time, in days post operatively, patient is comfortable to walk and gait pattern normalised, not requiring crutches as indicated by physiotherapist</w:t>
      </w:r>
      <w:r w:rsidR="00C26B77">
        <w:rPr>
          <w:rFonts w:ascii="Calibri" w:hAnsi="Calibri"/>
          <w:sz w:val="22"/>
          <w:szCs w:val="22"/>
        </w:rPr>
        <w:t>)</w:t>
      </w:r>
    </w:p>
    <w:p w14:paraId="3EC2E98B" w14:textId="6AF2C1E3" w:rsidR="001E44F4" w:rsidRDefault="001E44F4" w:rsidP="00C26B77">
      <w:pPr>
        <w:pStyle w:val="ListParagraph"/>
        <w:numPr>
          <w:ilvl w:val="0"/>
          <w:numId w:val="1"/>
        </w:numPr>
        <w:jc w:val="both"/>
        <w:rPr>
          <w:rFonts w:ascii="Calibri" w:hAnsi="Calibri"/>
          <w:sz w:val="22"/>
          <w:szCs w:val="22"/>
        </w:rPr>
      </w:pPr>
      <w:r w:rsidRPr="003D5AD3">
        <w:rPr>
          <w:rFonts w:ascii="Calibri" w:hAnsi="Calibri"/>
          <w:sz w:val="22"/>
          <w:szCs w:val="22"/>
        </w:rPr>
        <w:t>Scar size</w:t>
      </w:r>
      <w:r w:rsidR="00C26B77">
        <w:rPr>
          <w:rFonts w:ascii="Calibri" w:hAnsi="Calibri"/>
          <w:sz w:val="22"/>
          <w:szCs w:val="22"/>
        </w:rPr>
        <w:t xml:space="preserve"> (</w:t>
      </w:r>
      <w:r w:rsidRPr="00C26B77">
        <w:rPr>
          <w:rFonts w:ascii="Calibri" w:hAnsi="Calibri"/>
          <w:sz w:val="22"/>
          <w:szCs w:val="22"/>
        </w:rPr>
        <w:t xml:space="preserve">Length measured in </w:t>
      </w:r>
      <w:r w:rsidR="006D7DA3" w:rsidRPr="00C26B77">
        <w:rPr>
          <w:rFonts w:ascii="Calibri" w:hAnsi="Calibri"/>
          <w:sz w:val="22"/>
          <w:szCs w:val="22"/>
        </w:rPr>
        <w:t>centimetres</w:t>
      </w:r>
      <w:r w:rsidR="00C26B77">
        <w:rPr>
          <w:rFonts w:ascii="Calibri" w:hAnsi="Calibri"/>
          <w:sz w:val="22"/>
          <w:szCs w:val="22"/>
        </w:rPr>
        <w:t>)</w:t>
      </w:r>
    </w:p>
    <w:p w14:paraId="4017B116" w14:textId="67F16DA9" w:rsidR="0041308B" w:rsidRPr="00C26B77" w:rsidRDefault="0041308B" w:rsidP="00C26B77">
      <w:pPr>
        <w:pStyle w:val="ListParagraph"/>
        <w:numPr>
          <w:ilvl w:val="0"/>
          <w:numId w:val="1"/>
        </w:numPr>
        <w:jc w:val="both"/>
        <w:rPr>
          <w:rFonts w:ascii="Calibri" w:hAnsi="Calibri"/>
          <w:sz w:val="22"/>
          <w:szCs w:val="22"/>
        </w:rPr>
      </w:pPr>
      <w:r>
        <w:rPr>
          <w:rFonts w:ascii="Calibri" w:hAnsi="Calibri"/>
          <w:sz w:val="22"/>
          <w:szCs w:val="22"/>
        </w:rPr>
        <w:t>Reduced symptoms related to the internal fixation device</w:t>
      </w:r>
    </w:p>
    <w:p w14:paraId="4AA25336" w14:textId="17BFEDDB" w:rsidR="001E44F4" w:rsidRPr="003D5AD3" w:rsidRDefault="001E44F4" w:rsidP="00DA459F">
      <w:pPr>
        <w:jc w:val="both"/>
        <w:rPr>
          <w:rFonts w:ascii="Calibri" w:hAnsi="Calibri"/>
          <w:b/>
          <w:sz w:val="22"/>
          <w:szCs w:val="22"/>
        </w:rPr>
      </w:pPr>
    </w:p>
    <w:p w14:paraId="10218A9E" w14:textId="2F450554" w:rsidR="00DA459F" w:rsidRPr="00856268" w:rsidRDefault="00C26B77" w:rsidP="006D7F4B">
      <w:pPr>
        <w:pStyle w:val="ORIQLSubheading"/>
      </w:pPr>
      <w:r w:rsidRPr="00856268">
        <w:lastRenderedPageBreak/>
        <w:t>Radiological Outcome</w:t>
      </w:r>
      <w:r w:rsidR="00856268" w:rsidRPr="00856268">
        <w:t xml:space="preserve"> (Secondary Outcome</w:t>
      </w:r>
      <w:r w:rsidR="006D7F4B">
        <w:t>s</w:t>
      </w:r>
      <w:r w:rsidR="00856268" w:rsidRPr="00856268">
        <w:t>)</w:t>
      </w:r>
    </w:p>
    <w:p w14:paraId="18BC37C3" w14:textId="50518040" w:rsidR="00856268" w:rsidRDefault="006D7DA3" w:rsidP="00856268">
      <w:pPr>
        <w:pStyle w:val="ListParagraph"/>
        <w:numPr>
          <w:ilvl w:val="0"/>
          <w:numId w:val="13"/>
        </w:numPr>
        <w:jc w:val="both"/>
        <w:rPr>
          <w:rFonts w:ascii="Calibri" w:hAnsi="Calibri"/>
          <w:sz w:val="22"/>
          <w:szCs w:val="22"/>
        </w:rPr>
      </w:pPr>
      <w:r w:rsidRPr="00856268">
        <w:rPr>
          <w:rFonts w:ascii="Calibri" w:hAnsi="Calibri"/>
          <w:sz w:val="22"/>
          <w:szCs w:val="22"/>
        </w:rPr>
        <w:t>H</w:t>
      </w:r>
      <w:r w:rsidR="00DA459F" w:rsidRPr="00856268">
        <w:rPr>
          <w:rFonts w:ascii="Calibri" w:hAnsi="Calibri"/>
          <w:sz w:val="22"/>
          <w:szCs w:val="22"/>
        </w:rPr>
        <w:t>ip knee ankle angle (HKA) from long leg weight bearing films</w:t>
      </w:r>
      <w:r w:rsidR="00856268" w:rsidRPr="00856268">
        <w:rPr>
          <w:rFonts w:ascii="Calibri" w:hAnsi="Calibri"/>
          <w:sz w:val="22"/>
          <w:szCs w:val="22"/>
        </w:rPr>
        <w:t xml:space="preserve"> – this is the a</w:t>
      </w:r>
      <w:r w:rsidR="00DA459F" w:rsidRPr="00856268">
        <w:rPr>
          <w:rFonts w:ascii="Calibri" w:hAnsi="Calibri"/>
          <w:sz w:val="22"/>
          <w:szCs w:val="22"/>
        </w:rPr>
        <w:t>ngle subtended by a line through the centre of the head of femur to the highest point in the distal femoral intercondylar notch and a line between then spines of the</w:t>
      </w:r>
      <w:r w:rsidR="00856268" w:rsidRPr="00856268">
        <w:rPr>
          <w:rFonts w:ascii="Arial" w:hAnsi="Arial"/>
        </w:rPr>
        <w:t xml:space="preserve"> </w:t>
      </w:r>
      <w:r w:rsidR="00856268" w:rsidRPr="00856268">
        <w:rPr>
          <w:rFonts w:ascii="Calibri" w:hAnsi="Calibri"/>
          <w:sz w:val="22"/>
          <w:szCs w:val="22"/>
        </w:rPr>
        <w:t>tibia and midpoint of the talus.</w:t>
      </w:r>
      <w:r w:rsidR="003730BD" w:rsidRPr="00856268">
        <w:rPr>
          <w:rFonts w:ascii="Calibri" w:hAnsi="Calibri"/>
          <w:sz w:val="22"/>
          <w:szCs w:val="22"/>
        </w:rPr>
        <w:fldChar w:fldCharType="begin" w:fldLock="1"/>
      </w:r>
      <w:r w:rsidR="00C012C0" w:rsidRPr="00856268">
        <w:rPr>
          <w:rFonts w:ascii="Calibri" w:hAnsi="Calibri"/>
          <w:sz w:val="22"/>
          <w:szCs w:val="22"/>
        </w:rPr>
        <w:instrText>ADDIN CSL_CITATION { "citationItems" : [ { "id" : "ITEM-1", "itemData" : { "DOI" : "10.1007/s00264-015-2880-x", "author" : [ { "dropping-particle" : "", "family" : "Na", "given" : "Young Gon", "non-dropping-particle" : "", "parse-names" : false, "suffix" : "" }, { "dropping-particle" : "", "family" : "Eom", "given" : "Sang Hwa", "non-dropping-particle" : "", "parse-names" : false, "suffix" : "" }, { "dropping-particle" : "", "family" : "Kim", "given" : "Seok Jin", "non-dropping-particle" : "", "parse-names" : false, "suffix" : "" } ], "id" : "ITEM-1", "issued" : { "date-parts" : [ [ "2016" ] ] }, "page" : "499-507", "title" : "The use of navigation in medial opening wedge high tibial osteotomy can improve tibial slope maintenance and reduce radiation exposure", "type" : "article-journal" }, "uris" : [ "http://www.mendeley.com/documents/?uuid=f2cc75ee-2e61-44ad-9825-e69bab6d64fb" ] } ], "mendeley" : { "formattedCitation" : "&lt;sup&gt;3&lt;/sup&gt;", "plainTextFormattedCitation" : "3", "previouslyFormattedCitation" : "&lt;sup&gt;3&lt;/sup&gt;" }, "properties" : { "noteIndex" : 0 }, "schema" : "https://github.com/citation-style-language/schema/raw/master/csl-citation.json" }</w:instrText>
      </w:r>
      <w:r w:rsidR="003730BD" w:rsidRPr="00856268">
        <w:rPr>
          <w:rFonts w:ascii="Calibri" w:hAnsi="Calibri"/>
          <w:sz w:val="22"/>
          <w:szCs w:val="22"/>
        </w:rPr>
        <w:fldChar w:fldCharType="separate"/>
      </w:r>
      <w:r w:rsidR="003730BD" w:rsidRPr="00856268">
        <w:rPr>
          <w:rFonts w:ascii="Calibri" w:hAnsi="Calibri"/>
          <w:noProof/>
          <w:sz w:val="22"/>
          <w:szCs w:val="22"/>
          <w:vertAlign w:val="superscript"/>
        </w:rPr>
        <w:t>3</w:t>
      </w:r>
      <w:r w:rsidR="003730BD" w:rsidRPr="00856268">
        <w:rPr>
          <w:rFonts w:ascii="Calibri" w:hAnsi="Calibri"/>
          <w:sz w:val="22"/>
          <w:szCs w:val="22"/>
        </w:rPr>
        <w:fldChar w:fldCharType="end"/>
      </w:r>
      <w:r w:rsidR="00DA459F" w:rsidRPr="00856268">
        <w:rPr>
          <w:rFonts w:ascii="Calibri" w:hAnsi="Calibri"/>
          <w:sz w:val="22"/>
          <w:szCs w:val="22"/>
        </w:rPr>
        <w:t xml:space="preserve"> </w:t>
      </w:r>
    </w:p>
    <w:p w14:paraId="1D788C2F" w14:textId="39149857" w:rsidR="00856268" w:rsidRDefault="00856268" w:rsidP="00856268">
      <w:pPr>
        <w:jc w:val="both"/>
        <w:rPr>
          <w:rFonts w:ascii="Calibri" w:hAnsi="Calibri"/>
          <w:sz w:val="22"/>
          <w:szCs w:val="22"/>
        </w:rPr>
      </w:pPr>
      <w:r w:rsidRPr="003D5AD3">
        <w:rPr>
          <w:noProof/>
          <w:lang w:val="en-AU" w:eastAsia="en-AU"/>
        </w:rPr>
        <w:drawing>
          <wp:anchor distT="0" distB="0" distL="114300" distR="114300" simplePos="0" relativeHeight="251658240" behindDoc="1" locked="0" layoutInCell="1" allowOverlap="1" wp14:anchorId="4D464B5C" wp14:editId="0B5CECF0">
            <wp:simplePos x="0" y="0"/>
            <wp:positionH relativeFrom="column">
              <wp:posOffset>2914650</wp:posOffset>
            </wp:positionH>
            <wp:positionV relativeFrom="paragraph">
              <wp:posOffset>52705</wp:posOffset>
            </wp:positionV>
            <wp:extent cx="1013460" cy="2391410"/>
            <wp:effectExtent l="0" t="0" r="0" b="8890"/>
            <wp:wrapTight wrapText="bothSides">
              <wp:wrapPolygon edited="0">
                <wp:start x="0" y="0"/>
                <wp:lineTo x="0" y="21508"/>
                <wp:lineTo x="21113" y="21508"/>
                <wp:lineTo x="21113" y="0"/>
                <wp:lineTo x="0" y="0"/>
              </wp:wrapPolygon>
            </wp:wrapTight>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3460" cy="239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B760C" w14:textId="725981BC" w:rsidR="00856268" w:rsidRDefault="00856268" w:rsidP="00856268">
      <w:pPr>
        <w:jc w:val="both"/>
        <w:rPr>
          <w:rFonts w:ascii="Calibri" w:hAnsi="Calibri"/>
          <w:sz w:val="22"/>
          <w:szCs w:val="22"/>
        </w:rPr>
      </w:pPr>
    </w:p>
    <w:p w14:paraId="64FC6D32" w14:textId="77777777" w:rsidR="00856268" w:rsidRDefault="00856268" w:rsidP="00856268">
      <w:pPr>
        <w:jc w:val="both"/>
        <w:rPr>
          <w:rFonts w:ascii="Calibri" w:hAnsi="Calibri"/>
          <w:sz w:val="22"/>
          <w:szCs w:val="22"/>
        </w:rPr>
      </w:pPr>
    </w:p>
    <w:p w14:paraId="42F5F1E7" w14:textId="77777777" w:rsidR="00856268" w:rsidRDefault="00856268" w:rsidP="00856268">
      <w:pPr>
        <w:jc w:val="both"/>
        <w:rPr>
          <w:rFonts w:ascii="Calibri" w:hAnsi="Calibri"/>
          <w:sz w:val="22"/>
          <w:szCs w:val="22"/>
        </w:rPr>
      </w:pPr>
    </w:p>
    <w:p w14:paraId="704E037B" w14:textId="77777777" w:rsidR="00856268" w:rsidRDefault="00856268" w:rsidP="00856268">
      <w:pPr>
        <w:jc w:val="both"/>
        <w:rPr>
          <w:rFonts w:ascii="Calibri" w:hAnsi="Calibri"/>
          <w:sz w:val="22"/>
          <w:szCs w:val="22"/>
        </w:rPr>
      </w:pPr>
    </w:p>
    <w:p w14:paraId="7BE87A58" w14:textId="77777777" w:rsidR="00856268" w:rsidRDefault="00856268" w:rsidP="00856268">
      <w:pPr>
        <w:jc w:val="both"/>
        <w:rPr>
          <w:rFonts w:ascii="Calibri" w:hAnsi="Calibri"/>
          <w:sz w:val="22"/>
          <w:szCs w:val="22"/>
        </w:rPr>
      </w:pPr>
    </w:p>
    <w:p w14:paraId="20AA7B21" w14:textId="77777777" w:rsidR="00856268" w:rsidRDefault="00856268" w:rsidP="00856268">
      <w:pPr>
        <w:jc w:val="both"/>
        <w:rPr>
          <w:rFonts w:ascii="Calibri" w:hAnsi="Calibri"/>
          <w:sz w:val="22"/>
          <w:szCs w:val="22"/>
        </w:rPr>
      </w:pPr>
    </w:p>
    <w:p w14:paraId="2B9F0301" w14:textId="77777777" w:rsidR="00856268" w:rsidRDefault="00856268" w:rsidP="00856268">
      <w:pPr>
        <w:jc w:val="both"/>
        <w:rPr>
          <w:rFonts w:ascii="Calibri" w:hAnsi="Calibri"/>
          <w:sz w:val="22"/>
          <w:szCs w:val="22"/>
        </w:rPr>
      </w:pPr>
    </w:p>
    <w:p w14:paraId="0E430273" w14:textId="77777777" w:rsidR="00856268" w:rsidRDefault="00856268" w:rsidP="00856268">
      <w:pPr>
        <w:jc w:val="both"/>
        <w:rPr>
          <w:rFonts w:ascii="Calibri" w:hAnsi="Calibri"/>
          <w:sz w:val="22"/>
          <w:szCs w:val="22"/>
        </w:rPr>
      </w:pPr>
    </w:p>
    <w:p w14:paraId="3BC1BB63" w14:textId="77777777" w:rsidR="00856268" w:rsidRDefault="00856268" w:rsidP="00856268">
      <w:pPr>
        <w:jc w:val="both"/>
        <w:rPr>
          <w:rFonts w:ascii="Calibri" w:hAnsi="Calibri"/>
          <w:sz w:val="22"/>
          <w:szCs w:val="22"/>
        </w:rPr>
      </w:pPr>
    </w:p>
    <w:p w14:paraId="123E94FE" w14:textId="77777777" w:rsidR="00856268" w:rsidRDefault="00856268" w:rsidP="00856268">
      <w:pPr>
        <w:jc w:val="both"/>
        <w:rPr>
          <w:rFonts w:ascii="Calibri" w:hAnsi="Calibri"/>
          <w:sz w:val="22"/>
          <w:szCs w:val="22"/>
        </w:rPr>
      </w:pPr>
    </w:p>
    <w:p w14:paraId="05E68774" w14:textId="77777777" w:rsidR="00856268" w:rsidRDefault="00856268" w:rsidP="00856268">
      <w:pPr>
        <w:jc w:val="both"/>
        <w:rPr>
          <w:rFonts w:ascii="Calibri" w:hAnsi="Calibri"/>
          <w:sz w:val="22"/>
          <w:szCs w:val="22"/>
        </w:rPr>
      </w:pPr>
    </w:p>
    <w:p w14:paraId="77E722F0" w14:textId="77777777" w:rsidR="00856268" w:rsidRDefault="00856268" w:rsidP="00856268">
      <w:pPr>
        <w:jc w:val="both"/>
        <w:rPr>
          <w:rFonts w:ascii="Calibri" w:hAnsi="Calibri"/>
          <w:sz w:val="22"/>
          <w:szCs w:val="22"/>
        </w:rPr>
      </w:pPr>
    </w:p>
    <w:p w14:paraId="776C041B" w14:textId="77777777" w:rsidR="00856268" w:rsidRDefault="00856268" w:rsidP="00856268">
      <w:pPr>
        <w:jc w:val="both"/>
        <w:rPr>
          <w:rFonts w:ascii="Calibri" w:hAnsi="Calibri"/>
          <w:sz w:val="22"/>
          <w:szCs w:val="22"/>
        </w:rPr>
      </w:pPr>
    </w:p>
    <w:p w14:paraId="187C67CD" w14:textId="21AF91D8" w:rsidR="00856268" w:rsidRDefault="00856268" w:rsidP="00856268">
      <w:pPr>
        <w:jc w:val="both"/>
        <w:rPr>
          <w:rFonts w:ascii="Calibri" w:hAnsi="Calibri"/>
          <w:sz w:val="22"/>
          <w:szCs w:val="22"/>
        </w:rPr>
      </w:pPr>
    </w:p>
    <w:p w14:paraId="600F3BC0" w14:textId="0620B7BA" w:rsidR="00856268" w:rsidRDefault="000F59E7" w:rsidP="00856268">
      <w:pPr>
        <w:pStyle w:val="ListParagraph"/>
        <w:numPr>
          <w:ilvl w:val="0"/>
          <w:numId w:val="13"/>
        </w:numPr>
        <w:jc w:val="both"/>
        <w:rPr>
          <w:rFonts w:ascii="Calibri" w:hAnsi="Calibri"/>
          <w:sz w:val="22"/>
          <w:szCs w:val="22"/>
        </w:rPr>
      </w:pPr>
      <w:r w:rsidRPr="003D5AD3">
        <w:rPr>
          <w:rFonts w:ascii="Calibri" w:hAnsi="Calibri"/>
          <w:noProof/>
          <w:sz w:val="22"/>
          <w:szCs w:val="22"/>
          <w:lang w:val="en-AU" w:eastAsia="en-AU"/>
        </w:rPr>
        <w:drawing>
          <wp:anchor distT="0" distB="0" distL="114300" distR="114300" simplePos="0" relativeHeight="251659264" behindDoc="1" locked="0" layoutInCell="1" allowOverlap="1" wp14:anchorId="70BCF263" wp14:editId="74A2A892">
            <wp:simplePos x="0" y="0"/>
            <wp:positionH relativeFrom="column">
              <wp:posOffset>2676525</wp:posOffset>
            </wp:positionH>
            <wp:positionV relativeFrom="paragraph">
              <wp:posOffset>301625</wp:posOffset>
            </wp:positionV>
            <wp:extent cx="1562100" cy="1893570"/>
            <wp:effectExtent l="0" t="0" r="0" b="0"/>
            <wp:wrapTight wrapText="bothSides">
              <wp:wrapPolygon edited="0">
                <wp:start x="0" y="0"/>
                <wp:lineTo x="0" y="21296"/>
                <wp:lineTo x="21337" y="21296"/>
                <wp:lineTo x="21337" y="0"/>
                <wp:lineTo x="0"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89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268">
        <w:rPr>
          <w:rFonts w:ascii="Calibri" w:hAnsi="Calibri"/>
          <w:sz w:val="22"/>
          <w:szCs w:val="22"/>
        </w:rPr>
        <w:t>P</w:t>
      </w:r>
      <w:r w:rsidR="00DA459F" w:rsidRPr="00856268">
        <w:rPr>
          <w:rFonts w:ascii="Calibri" w:hAnsi="Calibri"/>
          <w:sz w:val="22"/>
          <w:szCs w:val="22"/>
        </w:rPr>
        <w:t xml:space="preserve">osterior </w:t>
      </w:r>
      <w:proofErr w:type="spellStart"/>
      <w:r w:rsidR="00DA459F" w:rsidRPr="00856268">
        <w:rPr>
          <w:rFonts w:ascii="Calibri" w:hAnsi="Calibri"/>
          <w:sz w:val="22"/>
          <w:szCs w:val="22"/>
        </w:rPr>
        <w:t>tibial</w:t>
      </w:r>
      <w:proofErr w:type="spellEnd"/>
      <w:r w:rsidR="00DA459F" w:rsidRPr="00856268">
        <w:rPr>
          <w:rFonts w:ascii="Calibri" w:hAnsi="Calibri"/>
          <w:sz w:val="22"/>
          <w:szCs w:val="22"/>
        </w:rPr>
        <w:t xml:space="preserve"> slope</w:t>
      </w:r>
      <w:r w:rsidR="00856268">
        <w:rPr>
          <w:rFonts w:ascii="Calibri" w:hAnsi="Calibri"/>
          <w:sz w:val="22"/>
          <w:szCs w:val="22"/>
        </w:rPr>
        <w:t xml:space="preserve"> – this is </w:t>
      </w:r>
      <w:r w:rsidR="00DA459F" w:rsidRPr="00856268">
        <w:rPr>
          <w:rFonts w:ascii="Calibri" w:hAnsi="Calibri"/>
          <w:sz w:val="22"/>
          <w:szCs w:val="22"/>
        </w:rPr>
        <w:t xml:space="preserve">measured by the angle it subtends with a line draw vertically from the posterior edge of the </w:t>
      </w:r>
      <w:proofErr w:type="spellStart"/>
      <w:r w:rsidR="00DA459F" w:rsidRPr="00856268">
        <w:rPr>
          <w:rFonts w:ascii="Calibri" w:hAnsi="Calibri"/>
          <w:sz w:val="22"/>
          <w:szCs w:val="22"/>
        </w:rPr>
        <w:t>tibial</w:t>
      </w:r>
      <w:proofErr w:type="spellEnd"/>
      <w:r w:rsidR="00DA459F" w:rsidRPr="00856268">
        <w:rPr>
          <w:rFonts w:ascii="Calibri" w:hAnsi="Calibri"/>
          <w:sz w:val="22"/>
          <w:szCs w:val="22"/>
        </w:rPr>
        <w:t xml:space="preserve"> shaft.</w:t>
      </w:r>
      <w:r w:rsidR="00917179" w:rsidRPr="00856268">
        <w:rPr>
          <w:rFonts w:ascii="Calibri" w:hAnsi="Calibri"/>
          <w:sz w:val="22"/>
          <w:szCs w:val="22"/>
        </w:rPr>
        <w:t xml:space="preserve"> </w:t>
      </w:r>
      <w:r w:rsidR="00917179" w:rsidRPr="00856268">
        <w:rPr>
          <w:rFonts w:ascii="Calibri" w:hAnsi="Calibri"/>
          <w:sz w:val="22"/>
          <w:szCs w:val="22"/>
        </w:rPr>
        <w:fldChar w:fldCharType="begin" w:fldLock="1"/>
      </w:r>
      <w:r w:rsidR="003730BD" w:rsidRPr="00856268">
        <w:rPr>
          <w:rFonts w:ascii="Calibri" w:hAnsi="Calibri"/>
          <w:sz w:val="22"/>
          <w:szCs w:val="22"/>
        </w:rPr>
        <w:instrText>ADDIN CSL_CITATION { "citationItems" : [ { "id" : "ITEM-1", "itemData" : { "DOI" : "10.1007/s00264-015-2880-x", "author" : [ { "dropping-particle" : "", "family" : "Na", "given" : "Young Gon", "non-dropping-particle" : "", "parse-names" : false, "suffix" : "" }, { "dropping-particle" : "", "family" : "Eom", "given" : "Sang Hwa", "non-dropping-particle" : "", "parse-names" : false, "suffix" : "" }, { "dropping-particle" : "", "family" : "Kim", "given" : "Seok Jin", "non-dropping-particle" : "", "parse-names" : false, "suffix" : "" } ], "id" : "ITEM-1", "issued" : { "date-parts" : [ [ "2016" ] ] }, "page" : "499-507", "title" : "The use of navigation in medial opening wedge high tibial osteotomy can improve tibial slope maintenance and reduce radiation exposure", "type" : "article-journal" }, "uris" : [ "http://www.mendeley.com/documents/?uuid=f2cc75ee-2e61-44ad-9825-e69bab6d64fb" ] } ], "mendeley" : { "formattedCitation" : "&lt;sup&gt;3&lt;/sup&gt;", "plainTextFormattedCitation" : "3", "previouslyFormattedCitation" : "&lt;sup&gt;3&lt;/sup&gt;" }, "properties" : { "noteIndex" : 0 }, "schema" : "https://github.com/citation-style-language/schema/raw/master/csl-citation.json" }</w:instrText>
      </w:r>
      <w:r w:rsidR="00917179" w:rsidRPr="00856268">
        <w:rPr>
          <w:rFonts w:ascii="Calibri" w:hAnsi="Calibri"/>
          <w:sz w:val="22"/>
          <w:szCs w:val="22"/>
        </w:rPr>
        <w:fldChar w:fldCharType="separate"/>
      </w:r>
      <w:r w:rsidR="00917179" w:rsidRPr="00856268">
        <w:rPr>
          <w:rFonts w:ascii="Calibri" w:hAnsi="Calibri"/>
          <w:noProof/>
          <w:sz w:val="22"/>
          <w:szCs w:val="22"/>
          <w:vertAlign w:val="superscript"/>
        </w:rPr>
        <w:t>3</w:t>
      </w:r>
      <w:r w:rsidR="00917179" w:rsidRPr="00856268">
        <w:rPr>
          <w:rFonts w:ascii="Calibri" w:hAnsi="Calibri"/>
          <w:sz w:val="22"/>
          <w:szCs w:val="22"/>
        </w:rPr>
        <w:fldChar w:fldCharType="end"/>
      </w:r>
    </w:p>
    <w:p w14:paraId="5A34D36E" w14:textId="7AD2DACC" w:rsidR="00856268" w:rsidRDefault="00856268" w:rsidP="00856268">
      <w:pPr>
        <w:jc w:val="both"/>
        <w:rPr>
          <w:rFonts w:ascii="Calibri" w:hAnsi="Calibri"/>
          <w:sz w:val="22"/>
          <w:szCs w:val="22"/>
        </w:rPr>
      </w:pPr>
    </w:p>
    <w:p w14:paraId="4339BEFD" w14:textId="77777777" w:rsidR="00856268" w:rsidRDefault="00856268" w:rsidP="00856268">
      <w:pPr>
        <w:jc w:val="both"/>
        <w:rPr>
          <w:rFonts w:ascii="Calibri" w:hAnsi="Calibri"/>
          <w:sz w:val="22"/>
          <w:szCs w:val="22"/>
        </w:rPr>
      </w:pPr>
    </w:p>
    <w:p w14:paraId="1960D1D8" w14:textId="77777777" w:rsidR="00856268" w:rsidRDefault="00856268" w:rsidP="00856268">
      <w:pPr>
        <w:jc w:val="both"/>
        <w:rPr>
          <w:rFonts w:ascii="Calibri" w:hAnsi="Calibri"/>
          <w:sz w:val="22"/>
          <w:szCs w:val="22"/>
        </w:rPr>
      </w:pPr>
    </w:p>
    <w:p w14:paraId="325F0E75" w14:textId="77777777" w:rsidR="00856268" w:rsidRDefault="00856268" w:rsidP="00856268">
      <w:pPr>
        <w:jc w:val="both"/>
        <w:rPr>
          <w:rFonts w:ascii="Calibri" w:hAnsi="Calibri"/>
          <w:sz w:val="22"/>
          <w:szCs w:val="22"/>
        </w:rPr>
      </w:pPr>
    </w:p>
    <w:p w14:paraId="03BA60D2" w14:textId="77777777" w:rsidR="00856268" w:rsidRDefault="00856268" w:rsidP="00856268">
      <w:pPr>
        <w:jc w:val="both"/>
        <w:rPr>
          <w:rFonts w:ascii="Calibri" w:hAnsi="Calibri"/>
          <w:sz w:val="22"/>
          <w:szCs w:val="22"/>
        </w:rPr>
      </w:pPr>
    </w:p>
    <w:p w14:paraId="20210240" w14:textId="77777777" w:rsidR="00856268" w:rsidRDefault="00856268" w:rsidP="00856268">
      <w:pPr>
        <w:jc w:val="both"/>
        <w:rPr>
          <w:rFonts w:ascii="Calibri" w:hAnsi="Calibri"/>
          <w:sz w:val="22"/>
          <w:szCs w:val="22"/>
        </w:rPr>
      </w:pPr>
    </w:p>
    <w:p w14:paraId="2D60204D" w14:textId="77777777" w:rsidR="00856268" w:rsidRDefault="00856268" w:rsidP="00856268">
      <w:pPr>
        <w:jc w:val="both"/>
        <w:rPr>
          <w:rFonts w:ascii="Calibri" w:hAnsi="Calibri"/>
          <w:sz w:val="22"/>
          <w:szCs w:val="22"/>
        </w:rPr>
      </w:pPr>
    </w:p>
    <w:p w14:paraId="3CBF7FE5" w14:textId="77777777" w:rsidR="00856268" w:rsidRDefault="00856268" w:rsidP="00856268">
      <w:pPr>
        <w:jc w:val="both"/>
        <w:rPr>
          <w:rFonts w:ascii="Calibri" w:hAnsi="Calibri"/>
          <w:sz w:val="22"/>
          <w:szCs w:val="22"/>
        </w:rPr>
      </w:pPr>
    </w:p>
    <w:p w14:paraId="199A474A" w14:textId="77777777" w:rsidR="00856268" w:rsidRDefault="00856268" w:rsidP="00856268">
      <w:pPr>
        <w:jc w:val="both"/>
        <w:rPr>
          <w:rFonts w:ascii="Calibri" w:hAnsi="Calibri"/>
          <w:sz w:val="22"/>
          <w:szCs w:val="22"/>
        </w:rPr>
      </w:pPr>
    </w:p>
    <w:p w14:paraId="4EADA638" w14:textId="77777777" w:rsidR="00856268" w:rsidRDefault="00856268" w:rsidP="00856268">
      <w:pPr>
        <w:jc w:val="both"/>
        <w:rPr>
          <w:rFonts w:ascii="Calibri" w:hAnsi="Calibri"/>
          <w:sz w:val="22"/>
          <w:szCs w:val="22"/>
        </w:rPr>
      </w:pPr>
    </w:p>
    <w:p w14:paraId="76CE7EFE" w14:textId="77777777" w:rsidR="00856268" w:rsidRDefault="00856268" w:rsidP="00856268">
      <w:pPr>
        <w:jc w:val="both"/>
        <w:rPr>
          <w:rFonts w:ascii="Calibri" w:hAnsi="Calibri"/>
          <w:sz w:val="22"/>
          <w:szCs w:val="22"/>
        </w:rPr>
      </w:pPr>
    </w:p>
    <w:p w14:paraId="1D842B9E" w14:textId="55374058" w:rsidR="00856268" w:rsidRDefault="00856268" w:rsidP="001A4980">
      <w:pPr>
        <w:rPr>
          <w:rFonts w:ascii="Calibri" w:hAnsi="Calibri"/>
          <w:sz w:val="22"/>
          <w:szCs w:val="22"/>
        </w:rPr>
      </w:pPr>
    </w:p>
    <w:p w14:paraId="3408CFFA" w14:textId="77777777" w:rsidR="0041308B" w:rsidRPr="00856268" w:rsidRDefault="0041308B" w:rsidP="001A4980">
      <w:pPr>
        <w:rPr>
          <w:rFonts w:ascii="Calibri" w:hAnsi="Calibri"/>
          <w:sz w:val="22"/>
          <w:szCs w:val="22"/>
        </w:rPr>
      </w:pPr>
    </w:p>
    <w:p w14:paraId="7AB9A411" w14:textId="77761AAF" w:rsidR="0089116F" w:rsidRDefault="00856268" w:rsidP="00856268">
      <w:pPr>
        <w:pStyle w:val="ListParagraph"/>
        <w:numPr>
          <w:ilvl w:val="0"/>
          <w:numId w:val="13"/>
        </w:numPr>
        <w:jc w:val="both"/>
        <w:rPr>
          <w:rFonts w:ascii="Calibri" w:hAnsi="Calibri"/>
          <w:sz w:val="22"/>
          <w:szCs w:val="22"/>
        </w:rPr>
      </w:pPr>
      <w:r w:rsidRPr="003D5AD3">
        <w:rPr>
          <w:noProof/>
          <w:lang w:val="en-AU" w:eastAsia="en-AU"/>
        </w:rPr>
        <w:drawing>
          <wp:anchor distT="0" distB="0" distL="114300" distR="114300" simplePos="0" relativeHeight="251660288" behindDoc="1" locked="0" layoutInCell="1" allowOverlap="1" wp14:anchorId="45582BA4" wp14:editId="1919FE04">
            <wp:simplePos x="0" y="0"/>
            <wp:positionH relativeFrom="column">
              <wp:posOffset>2809875</wp:posOffset>
            </wp:positionH>
            <wp:positionV relativeFrom="paragraph">
              <wp:posOffset>240665</wp:posOffset>
            </wp:positionV>
            <wp:extent cx="1286510" cy="1104900"/>
            <wp:effectExtent l="0" t="0" r="8890" b="0"/>
            <wp:wrapTight wrapText="bothSides">
              <wp:wrapPolygon edited="0">
                <wp:start x="0" y="0"/>
                <wp:lineTo x="0" y="21228"/>
                <wp:lineTo x="21429" y="21228"/>
                <wp:lineTo x="21429" y="0"/>
                <wp:lineTo x="0" y="0"/>
              </wp:wrapPolygon>
            </wp:wrapTight>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P</w:t>
      </w:r>
      <w:r w:rsidR="00DA459F" w:rsidRPr="00856268">
        <w:rPr>
          <w:rFonts w:ascii="Calibri" w:hAnsi="Calibri"/>
          <w:sz w:val="22"/>
          <w:szCs w:val="22"/>
        </w:rPr>
        <w:t>atellar height</w:t>
      </w:r>
      <w:r>
        <w:rPr>
          <w:rFonts w:ascii="Calibri" w:hAnsi="Calibri"/>
          <w:sz w:val="22"/>
          <w:szCs w:val="22"/>
        </w:rPr>
        <w:t xml:space="preserve"> which is</w:t>
      </w:r>
      <w:r w:rsidR="00DA459F" w:rsidRPr="00856268">
        <w:rPr>
          <w:rFonts w:ascii="Calibri" w:hAnsi="Calibri"/>
          <w:sz w:val="22"/>
          <w:szCs w:val="22"/>
        </w:rPr>
        <w:t xml:space="preserve"> calculated by Blackburne-Peele method</w:t>
      </w:r>
      <w:r w:rsidR="00917179" w:rsidRPr="00856268">
        <w:rPr>
          <w:rFonts w:ascii="Calibri" w:hAnsi="Calibri"/>
          <w:sz w:val="22"/>
          <w:szCs w:val="22"/>
        </w:rPr>
        <w:fldChar w:fldCharType="begin" w:fldLock="1"/>
      </w:r>
      <w:r w:rsidR="00917179" w:rsidRPr="00856268">
        <w:rPr>
          <w:rFonts w:ascii="Calibri" w:hAnsi="Calibri"/>
          <w:sz w:val="22"/>
          <w:szCs w:val="22"/>
        </w:rPr>
        <w:instrText>ADDIN CSL_CITATION { "citationItems" : [ { "id" : "ITEM-1", "itemData" : { "DOI" : "10.1302/0301-620X.92B8.23794", "ISBN" : "0301-620X (Print)\\n0021-9355 (Linking)", "ISSN" : "0301-620X", "PMID" : "20675745", "abstract" : "Many radiographic techniques have been described for measuring patellar height. They can be divided into two groups: those that relate the position of the patella to the femur (direct) and those that relate it to the tibia (indirect). This article looks at the methods that have been described, the logic behind their conception and the critical analyses that have been performed to test them.", "author" : [ { "dropping-particle" : "", "family" : "Phillips", "given" : "C L", "non-dropping-particle" : "", "parse-names" : false, "suffix" : "" }, { "dropping-particle" : "", "family" : "Silver", "given" : "D a T", "non-dropping-particle" : "", "parse-names" : false, "suffix" : "" }, { "dropping-particle" : "", "family" : "Schranz", "given" : "P J", "non-dropping-particle" : "", "parse-names" : false, "suffix" : "" }, { "dropping-particle" : "", "family" : "Mandalia", "given" : "V", "non-dropping-particle" : "", "parse-names" : false, "suffix" : "" } ], "container-title" : "The Journal of bone and joint surgery. British volume", "id" : "ITEM-1", "issue" : "8", "issued" : { "date-parts" : [ [ "2010" ] ] }, "page" : "1045-1053", "title" : "The measurement of patellar height: a review of the methods of imaging.", "type" : "article-journal", "volume" : "92" }, "uris" : [ "http://www.mendeley.com/documents/?uuid=cb0deab4-9c51-4082-a500-5264045d3964" ] } ], "mendeley" : { "formattedCitation" : "&lt;sup&gt;6&lt;/sup&gt;", "plainTextFormattedCitation" : "6", "previouslyFormattedCitation" : "&lt;sup&gt;6&lt;/sup&gt;" }, "properties" : { "noteIndex" : 0 }, "schema" : "https://github.com/citation-style-language/schema/raw/master/csl-citation.json" }</w:instrText>
      </w:r>
      <w:r w:rsidR="00917179" w:rsidRPr="00856268">
        <w:rPr>
          <w:rFonts w:ascii="Calibri" w:hAnsi="Calibri"/>
          <w:sz w:val="22"/>
          <w:szCs w:val="22"/>
        </w:rPr>
        <w:fldChar w:fldCharType="separate"/>
      </w:r>
      <w:r w:rsidR="00917179" w:rsidRPr="00856268">
        <w:rPr>
          <w:rFonts w:ascii="Calibri" w:hAnsi="Calibri"/>
          <w:noProof/>
          <w:sz w:val="22"/>
          <w:szCs w:val="22"/>
          <w:vertAlign w:val="superscript"/>
        </w:rPr>
        <w:t>6</w:t>
      </w:r>
      <w:r w:rsidR="00917179" w:rsidRPr="00856268">
        <w:rPr>
          <w:rFonts w:ascii="Calibri" w:hAnsi="Calibri"/>
          <w:sz w:val="22"/>
          <w:szCs w:val="22"/>
        </w:rPr>
        <w:fldChar w:fldCharType="end"/>
      </w:r>
      <w:r>
        <w:rPr>
          <w:rFonts w:ascii="Calibri" w:hAnsi="Calibri"/>
          <w:sz w:val="22"/>
          <w:szCs w:val="22"/>
        </w:rPr>
        <w:t xml:space="preserve"> (</w:t>
      </w:r>
      <w:r w:rsidR="0089116F" w:rsidRPr="00856268">
        <w:rPr>
          <w:rFonts w:ascii="Calibri" w:hAnsi="Calibri"/>
          <w:sz w:val="22"/>
          <w:szCs w:val="22"/>
        </w:rPr>
        <w:t xml:space="preserve">PA- patella </w:t>
      </w:r>
      <w:proofErr w:type="spellStart"/>
      <w:r w:rsidR="0089116F" w:rsidRPr="00856268">
        <w:rPr>
          <w:rFonts w:ascii="Calibri" w:hAnsi="Calibri"/>
          <w:sz w:val="22"/>
          <w:szCs w:val="22"/>
        </w:rPr>
        <w:t>alta</w:t>
      </w:r>
      <w:proofErr w:type="spellEnd"/>
      <w:r w:rsidR="0089116F" w:rsidRPr="00856268">
        <w:rPr>
          <w:rFonts w:ascii="Calibri" w:hAnsi="Calibri"/>
          <w:sz w:val="22"/>
          <w:szCs w:val="22"/>
        </w:rPr>
        <w:t xml:space="preserve">, N- normal, PI- patella </w:t>
      </w:r>
      <w:proofErr w:type="spellStart"/>
      <w:r w:rsidR="0089116F" w:rsidRPr="00856268">
        <w:rPr>
          <w:rFonts w:ascii="Calibri" w:hAnsi="Calibri"/>
          <w:sz w:val="22"/>
          <w:szCs w:val="22"/>
        </w:rPr>
        <w:t>infera</w:t>
      </w:r>
      <w:proofErr w:type="spellEnd"/>
      <w:r>
        <w:rPr>
          <w:rFonts w:ascii="Calibri" w:hAnsi="Calibri"/>
          <w:sz w:val="22"/>
          <w:szCs w:val="22"/>
        </w:rPr>
        <w:t>)</w:t>
      </w:r>
    </w:p>
    <w:p w14:paraId="0997723D" w14:textId="77777777" w:rsidR="00856268" w:rsidRDefault="00856268" w:rsidP="00856268">
      <w:pPr>
        <w:jc w:val="both"/>
        <w:rPr>
          <w:rFonts w:ascii="Calibri" w:hAnsi="Calibri"/>
          <w:sz w:val="22"/>
          <w:szCs w:val="22"/>
        </w:rPr>
      </w:pPr>
    </w:p>
    <w:p w14:paraId="7C6B5044" w14:textId="77777777" w:rsidR="00856268" w:rsidRDefault="00856268" w:rsidP="00856268">
      <w:pPr>
        <w:jc w:val="both"/>
        <w:rPr>
          <w:rFonts w:ascii="Calibri" w:hAnsi="Calibri"/>
          <w:sz w:val="22"/>
          <w:szCs w:val="22"/>
        </w:rPr>
      </w:pPr>
    </w:p>
    <w:p w14:paraId="1F29E340" w14:textId="77777777" w:rsidR="000F59E7" w:rsidRDefault="000F59E7" w:rsidP="00856268">
      <w:pPr>
        <w:jc w:val="both"/>
        <w:rPr>
          <w:rFonts w:ascii="Calibri" w:hAnsi="Calibri"/>
          <w:sz w:val="22"/>
          <w:szCs w:val="22"/>
        </w:rPr>
      </w:pPr>
    </w:p>
    <w:p w14:paraId="3BF32B2D" w14:textId="77777777" w:rsidR="00856268" w:rsidRDefault="00856268" w:rsidP="00856268">
      <w:pPr>
        <w:jc w:val="both"/>
        <w:rPr>
          <w:rFonts w:ascii="Calibri" w:hAnsi="Calibri"/>
          <w:sz w:val="22"/>
          <w:szCs w:val="22"/>
        </w:rPr>
      </w:pPr>
    </w:p>
    <w:p w14:paraId="7ACC3B87" w14:textId="77777777" w:rsidR="00856268" w:rsidRDefault="00856268" w:rsidP="00856268">
      <w:pPr>
        <w:jc w:val="both"/>
        <w:rPr>
          <w:rFonts w:ascii="Calibri" w:hAnsi="Calibri"/>
          <w:sz w:val="22"/>
          <w:szCs w:val="22"/>
        </w:rPr>
      </w:pPr>
    </w:p>
    <w:p w14:paraId="0814B69D" w14:textId="77777777" w:rsidR="00856268" w:rsidRDefault="00856268" w:rsidP="00856268">
      <w:pPr>
        <w:jc w:val="both"/>
        <w:rPr>
          <w:rFonts w:ascii="Calibri" w:hAnsi="Calibri"/>
          <w:sz w:val="22"/>
          <w:szCs w:val="22"/>
        </w:rPr>
      </w:pPr>
    </w:p>
    <w:p w14:paraId="1DAE4F39" w14:textId="77777777" w:rsidR="00856268" w:rsidRPr="00856268" w:rsidRDefault="00856268" w:rsidP="00856268">
      <w:pPr>
        <w:jc w:val="both"/>
        <w:rPr>
          <w:rFonts w:ascii="Calibri" w:hAnsi="Calibri"/>
          <w:sz w:val="22"/>
          <w:szCs w:val="22"/>
        </w:rPr>
      </w:pPr>
    </w:p>
    <w:p w14:paraId="2D3B3C24" w14:textId="03723810" w:rsidR="002C0DD5" w:rsidRPr="000F59E7" w:rsidRDefault="002C0DD5" w:rsidP="00856268">
      <w:pPr>
        <w:pStyle w:val="ListParagraph"/>
        <w:numPr>
          <w:ilvl w:val="0"/>
          <w:numId w:val="13"/>
        </w:numPr>
        <w:jc w:val="both"/>
        <w:rPr>
          <w:rFonts w:ascii="Calibri" w:hAnsi="Calibri"/>
          <w:sz w:val="22"/>
          <w:szCs w:val="22"/>
        </w:rPr>
      </w:pPr>
      <w:r w:rsidRPr="00856268">
        <w:rPr>
          <w:rFonts w:ascii="Calibri" w:hAnsi="Calibri"/>
          <w:sz w:val="22"/>
          <w:szCs w:val="22"/>
        </w:rPr>
        <w:t>Time to union</w:t>
      </w:r>
      <w:r w:rsidR="00856268">
        <w:rPr>
          <w:rFonts w:ascii="Calibri" w:hAnsi="Calibri"/>
          <w:sz w:val="22"/>
          <w:szCs w:val="22"/>
        </w:rPr>
        <w:t xml:space="preserve"> which is d</w:t>
      </w:r>
      <w:r w:rsidRPr="00856268">
        <w:rPr>
          <w:rFonts w:ascii="Calibri" w:hAnsi="Calibri"/>
          <w:sz w:val="22"/>
          <w:szCs w:val="22"/>
        </w:rPr>
        <w:t>efined as time at which there is an absence of pain upon local palpation, an absence of swelling in the limb, an ability to walk painlessly without crutches, and an evidence of a radiographic bridging callus or trabecula between fragments</w:t>
      </w:r>
      <w:r w:rsidRPr="00856268">
        <w:rPr>
          <w:rFonts w:ascii="Calibri" w:hAnsi="Calibri"/>
          <w:sz w:val="22"/>
          <w:szCs w:val="22"/>
          <w:vertAlign w:val="superscript"/>
        </w:rPr>
        <w:t>8</w:t>
      </w:r>
    </w:p>
    <w:p w14:paraId="60D27E89" w14:textId="0BFD55BB" w:rsidR="00657CB6" w:rsidRPr="003D5AD3" w:rsidRDefault="00657CB6" w:rsidP="00657CB6">
      <w:pPr>
        <w:jc w:val="both"/>
        <w:rPr>
          <w:rFonts w:ascii="Calibri" w:hAnsi="Calibri"/>
          <w:b/>
          <w:sz w:val="22"/>
          <w:szCs w:val="22"/>
        </w:rPr>
      </w:pPr>
    </w:p>
    <w:p w14:paraId="15128C25" w14:textId="10CEA1C1" w:rsidR="00C012C0" w:rsidRPr="00856268" w:rsidRDefault="00C012C0" w:rsidP="006D7F4B">
      <w:pPr>
        <w:pStyle w:val="ORIQLSubheading"/>
      </w:pPr>
      <w:r w:rsidRPr="00856268">
        <w:lastRenderedPageBreak/>
        <w:t>Patient Reporte</w:t>
      </w:r>
      <w:r w:rsidR="00856268" w:rsidRPr="00856268">
        <w:t>d Outcome Measure (PROM) scores (Secondary Outcome)</w:t>
      </w:r>
    </w:p>
    <w:p w14:paraId="5335C2B8" w14:textId="1F8FB666" w:rsidR="00C012C0" w:rsidRPr="00885FEE" w:rsidRDefault="00C012C0" w:rsidP="00885FEE">
      <w:pPr>
        <w:jc w:val="both"/>
        <w:rPr>
          <w:rFonts w:ascii="Calibri" w:hAnsi="Calibri"/>
          <w:sz w:val="22"/>
          <w:szCs w:val="22"/>
        </w:rPr>
      </w:pPr>
      <w:r w:rsidRPr="00885FEE">
        <w:rPr>
          <w:rFonts w:ascii="Calibri" w:hAnsi="Calibri"/>
          <w:sz w:val="22"/>
          <w:szCs w:val="22"/>
        </w:rPr>
        <w:t>There is no specific PROM that has been developed/validated for the evaluation of HT</w:t>
      </w:r>
      <w:r w:rsidR="0041308B">
        <w:rPr>
          <w:rFonts w:ascii="Calibri" w:hAnsi="Calibri"/>
          <w:sz w:val="22"/>
          <w:szCs w:val="22"/>
        </w:rPr>
        <w:t xml:space="preserve">O outcomes. The following </w:t>
      </w:r>
      <w:r w:rsidRPr="00885FEE">
        <w:rPr>
          <w:rFonts w:ascii="Calibri" w:hAnsi="Calibri"/>
          <w:sz w:val="22"/>
          <w:szCs w:val="22"/>
        </w:rPr>
        <w:t>scores have been recommended by Wang et</w:t>
      </w:r>
      <w:r w:rsidRPr="00885FEE">
        <w:rPr>
          <w:rFonts w:ascii="Calibri" w:hAnsi="Calibri"/>
          <w:sz w:val="22"/>
          <w:szCs w:val="22"/>
        </w:rPr>
        <w:fldChar w:fldCharType="begin" w:fldLock="1"/>
      </w:r>
      <w:r w:rsidRPr="00885FEE">
        <w:rPr>
          <w:rFonts w:ascii="Calibri" w:hAnsi="Calibri"/>
          <w:sz w:val="22"/>
          <w:szCs w:val="22"/>
        </w:rPr>
        <w:instrText>ADDIN CSL_CITATION { "citationItems" : [ { "id" : "ITEM-1", "itemData" : { "DOI" : "10.1055/s-0030-1268691", "ISBN" : "1538-8506", "ISSN" : "15388506", "PMID" : "21329255", "abstract" : "In the past 20 years, there has been considerable growth in the number of knee instruments and rating scales designed to measure outcomes from the perspective of the patient. Only a few of these instruments have been evaluated for reliability, validity, and responsiveness. The purpose of this systematic review was to examine the psychometric evidence of patient-reported outcome measures for the knee and identify the best scores for specific knee conditions. A literature search was performed to retrieve references relating to the development and evaluation of knee-specific instruments. Twenty-four unique instruments were identified, and most have satisfactory evidence for internal (alpha &gt; or = 0.82) and test-retest reliability (intraclass correlation coefficient &gt; or = 0.80). Face/content validity was typically assessed during the item selection process, and construct validity was evaluated through strict hypothesis testing or correlations with other clinical measures. For many instruments, effect sizes and standardized response means measuring responsiveness were large (&gt; or = 0.80) within disease-specific populations. Based on the psychometric data, recommendations include the Cincinnati Knee Rating System, Knee Injury and Osteoarthritis Outcome Score (KOOS), and Lysholm Knee Score for anterior cruciate ligament (ACL) injuries, the Kujala Anterior Knee Pain Scale for anterior knee pain, the International Knee Documentation Committee (IKDC) Subjective Knee Form, KOOS, and Lysholm Knee Score for focal chondral defects, the Western Ontario Meniscal Evaluation Tool (WOMET) for meniscal injuries, and the KOOS for osteoarthritis (OA). Although the IKDC can be used as a general knee measure, no instrument is currently universally applicable across the spectrum of knee disorders and patient groups. Clinicians and researchers looking to use a patient-based score for measurement of outcomes must consider the specific patient population in which it has been evaluated. Using a diagnostic algorithm that measures the anatomic parts of the knee as separate constructs may solve this dilemma, allowing for measurement of treatment outcomes across patient groups and selection of the optimal clinical intervention.", "author" : [ { "dropping-particle" : "", "family" : "Wang", "given" : "Dean", "non-dropping-particle" : "", "parse-names" : false, "suffix" : "" }, { "dropping-particle" : "", "family" : "Jones", "given" : "Morgan H.", "non-dropping-particle" : "", "parse-names" : false, "suffix" : "" }, { "dropping-particle" : "", "family" : "Khair", "given" : "Mahmoud M.", "non-dropping-particle" : "", "parse-names" : false, "suffix" : "" }, { "dropping-particle" : "", "family" : "Miniaci", "given" : "Anthony", "non-dropping-particle" : "", "parse-names" : false, "suffix" : "" } ], "container-title" : "The journal of knee surgery", "id" : "ITEM-1", "issue" : "3", "issued" : { "date-parts" : [ [ "2010" ] ] }, "page" : "137-151", "title" : "Patient-reported outcome measures for the knee.", "type" : "article-journal", "volume" : "23" }, "uris" : [ "http://www.mendeley.com/documents/?uuid=32de9969-46d2-49f8-8954-1ca00b42fab5" ] } ], "mendeley" : { "formattedCitation" : "&lt;sup&gt;7&lt;/sup&gt;", "plainTextFormattedCitation" : "7" }, "properties" : { "noteIndex" : 0 }, "schema" : "https://github.com/citation-style-language/schema/raw/master/csl-citation.json" }</w:instrText>
      </w:r>
      <w:r w:rsidRPr="00885FEE">
        <w:rPr>
          <w:rFonts w:ascii="Calibri" w:hAnsi="Calibri"/>
          <w:sz w:val="22"/>
          <w:szCs w:val="22"/>
        </w:rPr>
        <w:fldChar w:fldCharType="separate"/>
      </w:r>
      <w:r w:rsidRPr="00885FEE">
        <w:rPr>
          <w:rFonts w:ascii="Calibri" w:hAnsi="Calibri"/>
          <w:noProof/>
          <w:sz w:val="22"/>
          <w:szCs w:val="22"/>
          <w:vertAlign w:val="superscript"/>
        </w:rPr>
        <w:t>7</w:t>
      </w:r>
      <w:r w:rsidRPr="00885FEE">
        <w:rPr>
          <w:rFonts w:ascii="Calibri" w:hAnsi="Calibri"/>
          <w:sz w:val="22"/>
          <w:szCs w:val="22"/>
        </w:rPr>
        <w:fldChar w:fldCharType="end"/>
      </w:r>
      <w:r w:rsidRPr="00885FEE">
        <w:rPr>
          <w:rFonts w:ascii="Calibri" w:hAnsi="Calibri"/>
          <w:sz w:val="22"/>
          <w:szCs w:val="22"/>
        </w:rPr>
        <w:t xml:space="preserve"> al after thorough investigation of their statistical effect size for osteoarthritis and general knee conditions KOOS were developed to be used in a young to middle aged athlete group thus will be suitable marker for functional outcome as the HTO cohort is usually younger and often have a history of chronic ACL deficiency due to early ACL injury.</w:t>
      </w:r>
      <w:r w:rsidR="00885FEE">
        <w:rPr>
          <w:rFonts w:ascii="Calibri" w:hAnsi="Calibri"/>
          <w:sz w:val="22"/>
          <w:szCs w:val="22"/>
        </w:rPr>
        <w:t xml:space="preserve"> Scores that will be utilised include:</w:t>
      </w:r>
    </w:p>
    <w:p w14:paraId="3D6FEC2F" w14:textId="2BCAC455" w:rsidR="00C012C0" w:rsidRPr="003D5AD3" w:rsidRDefault="0041308B" w:rsidP="00885FEE">
      <w:pPr>
        <w:pStyle w:val="ListParagraph"/>
        <w:numPr>
          <w:ilvl w:val="0"/>
          <w:numId w:val="14"/>
        </w:numPr>
        <w:jc w:val="both"/>
        <w:rPr>
          <w:rFonts w:ascii="Calibri" w:hAnsi="Calibri"/>
          <w:sz w:val="22"/>
          <w:szCs w:val="22"/>
        </w:rPr>
      </w:pPr>
      <w:r>
        <w:rPr>
          <w:rFonts w:ascii="Calibri" w:hAnsi="Calibri"/>
          <w:sz w:val="22"/>
          <w:szCs w:val="22"/>
        </w:rPr>
        <w:t>KOOS</w:t>
      </w:r>
    </w:p>
    <w:p w14:paraId="09C4A63D" w14:textId="066DA7A8" w:rsidR="00C012C0" w:rsidRPr="003D5AD3" w:rsidRDefault="0041308B" w:rsidP="00885FEE">
      <w:pPr>
        <w:pStyle w:val="ListParagraph"/>
        <w:numPr>
          <w:ilvl w:val="0"/>
          <w:numId w:val="14"/>
        </w:numPr>
        <w:jc w:val="both"/>
        <w:rPr>
          <w:rFonts w:ascii="Calibri" w:hAnsi="Calibri"/>
          <w:sz w:val="22"/>
          <w:szCs w:val="22"/>
        </w:rPr>
      </w:pPr>
      <w:r>
        <w:rPr>
          <w:rFonts w:ascii="Calibri" w:hAnsi="Calibri"/>
          <w:sz w:val="22"/>
          <w:szCs w:val="22"/>
        </w:rPr>
        <w:t>OKS</w:t>
      </w:r>
    </w:p>
    <w:p w14:paraId="7361380D" w14:textId="7450EB56" w:rsidR="00856268" w:rsidRPr="006D7F4B" w:rsidRDefault="00856268" w:rsidP="00657CB6">
      <w:pPr>
        <w:pStyle w:val="ListParagraph"/>
        <w:numPr>
          <w:ilvl w:val="0"/>
          <w:numId w:val="14"/>
        </w:numPr>
        <w:jc w:val="both"/>
        <w:rPr>
          <w:rFonts w:ascii="Calibri" w:hAnsi="Calibri"/>
          <w:sz w:val="22"/>
          <w:szCs w:val="22"/>
        </w:rPr>
      </w:pPr>
      <w:r>
        <w:rPr>
          <w:rFonts w:ascii="Calibri" w:hAnsi="Calibri"/>
          <w:sz w:val="22"/>
          <w:szCs w:val="22"/>
        </w:rPr>
        <w:t>V</w:t>
      </w:r>
      <w:r w:rsidRPr="003D5AD3">
        <w:rPr>
          <w:rFonts w:ascii="Calibri" w:hAnsi="Calibri"/>
          <w:sz w:val="22"/>
          <w:szCs w:val="22"/>
        </w:rPr>
        <w:t>isual-analogue-scale</w:t>
      </w:r>
      <w:r>
        <w:rPr>
          <w:rFonts w:ascii="Calibri" w:hAnsi="Calibri"/>
          <w:sz w:val="22"/>
          <w:szCs w:val="22"/>
        </w:rPr>
        <w:t xml:space="preserve"> (VAS)</w:t>
      </w:r>
      <w:r w:rsidRPr="003D5AD3">
        <w:rPr>
          <w:rFonts w:ascii="Calibri" w:hAnsi="Calibri"/>
          <w:sz w:val="22"/>
          <w:szCs w:val="22"/>
        </w:rPr>
        <w:t xml:space="preserve"> pain score</w:t>
      </w:r>
    </w:p>
    <w:p w14:paraId="7F35279C" w14:textId="77777777" w:rsidR="000F59E7" w:rsidRPr="00856268" w:rsidRDefault="000F59E7" w:rsidP="006D7F4B">
      <w:pPr>
        <w:pStyle w:val="ORIQLHeading2"/>
      </w:pPr>
      <w:r>
        <w:t>Surgical Procedures</w:t>
      </w:r>
    </w:p>
    <w:p w14:paraId="353D801D" w14:textId="77777777" w:rsidR="000F59E7" w:rsidRPr="003D5AD3" w:rsidRDefault="000F59E7" w:rsidP="006D7F4B">
      <w:pPr>
        <w:pStyle w:val="ORIQLSubheading"/>
      </w:pPr>
      <w:r w:rsidRPr="003D5AD3">
        <w:t xml:space="preserve">Recruitment and consent of participants </w:t>
      </w:r>
    </w:p>
    <w:p w14:paraId="397AC724" w14:textId="71BB935B" w:rsidR="000F59E7" w:rsidRPr="000F59E7" w:rsidRDefault="000F59E7" w:rsidP="000F59E7">
      <w:pPr>
        <w:jc w:val="both"/>
        <w:rPr>
          <w:rFonts w:ascii="Calibri" w:hAnsi="Calibri"/>
          <w:i/>
          <w:sz w:val="22"/>
          <w:szCs w:val="22"/>
        </w:rPr>
      </w:pPr>
      <w:r w:rsidRPr="000F59E7">
        <w:rPr>
          <w:rFonts w:ascii="Calibri" w:hAnsi="Calibri"/>
          <w:i/>
          <w:sz w:val="22"/>
          <w:szCs w:val="22"/>
        </w:rPr>
        <w:t>HTO Surgical Technique</w:t>
      </w:r>
    </w:p>
    <w:p w14:paraId="1021D8E0" w14:textId="52BC6F48" w:rsidR="000F59E7" w:rsidRPr="003D5AD3" w:rsidRDefault="0041308B" w:rsidP="000F59E7">
      <w:pPr>
        <w:jc w:val="both"/>
        <w:rPr>
          <w:rFonts w:ascii="Calibri" w:hAnsi="Calibri"/>
          <w:sz w:val="22"/>
          <w:szCs w:val="22"/>
        </w:rPr>
      </w:pPr>
      <w:r>
        <w:rPr>
          <w:rFonts w:ascii="Calibri" w:hAnsi="Calibri"/>
          <w:sz w:val="22"/>
          <w:szCs w:val="22"/>
        </w:rPr>
        <w:t>The l</w:t>
      </w:r>
      <w:r w:rsidR="000F59E7" w:rsidRPr="003D5AD3">
        <w:rPr>
          <w:rFonts w:ascii="Calibri" w:hAnsi="Calibri"/>
          <w:sz w:val="22"/>
          <w:szCs w:val="22"/>
        </w:rPr>
        <w:t xml:space="preserve">imb will be prepped and draped in standard fashion using betadine and </w:t>
      </w:r>
      <w:proofErr w:type="spellStart"/>
      <w:r w:rsidR="000F59E7" w:rsidRPr="003D5AD3">
        <w:rPr>
          <w:rFonts w:ascii="Calibri" w:hAnsi="Calibri"/>
          <w:sz w:val="22"/>
          <w:szCs w:val="22"/>
        </w:rPr>
        <w:t>iBand</w:t>
      </w:r>
      <w:proofErr w:type="spellEnd"/>
      <w:r w:rsidR="000F59E7" w:rsidRPr="003D5AD3">
        <w:rPr>
          <w:rFonts w:ascii="Calibri" w:hAnsi="Calibri"/>
          <w:sz w:val="22"/>
          <w:szCs w:val="22"/>
        </w:rPr>
        <w:t xml:space="preserve"> </w:t>
      </w:r>
      <w:r>
        <w:rPr>
          <w:rFonts w:ascii="Calibri" w:hAnsi="Calibri"/>
          <w:sz w:val="22"/>
          <w:szCs w:val="22"/>
        </w:rPr>
        <w:t>to cover</w:t>
      </w:r>
      <w:r w:rsidR="000F59E7" w:rsidRPr="003D5AD3">
        <w:rPr>
          <w:rFonts w:ascii="Calibri" w:hAnsi="Calibri"/>
          <w:sz w:val="22"/>
          <w:szCs w:val="22"/>
        </w:rPr>
        <w:t xml:space="preserve"> expos</w:t>
      </w:r>
      <w:r w:rsidR="00C359E8">
        <w:rPr>
          <w:rFonts w:ascii="Calibri" w:hAnsi="Calibri"/>
          <w:sz w:val="22"/>
          <w:szCs w:val="22"/>
        </w:rPr>
        <w:t>ed skin to maintain sterility. Two</w:t>
      </w:r>
      <w:r w:rsidR="000F59E7" w:rsidRPr="003D5AD3">
        <w:rPr>
          <w:rFonts w:ascii="Calibri" w:hAnsi="Calibri"/>
          <w:sz w:val="22"/>
          <w:szCs w:val="22"/>
        </w:rPr>
        <w:t xml:space="preserve"> pins will be placed in the femur and tibia and</w:t>
      </w:r>
      <w:r w:rsidR="00C359E8">
        <w:rPr>
          <w:rFonts w:ascii="Calibri" w:hAnsi="Calibri"/>
          <w:sz w:val="22"/>
          <w:szCs w:val="22"/>
        </w:rPr>
        <w:t xml:space="preserve"> navigation trackers attached. Two</w:t>
      </w:r>
      <w:r w:rsidR="000F59E7" w:rsidRPr="003D5AD3">
        <w:rPr>
          <w:rFonts w:ascii="Calibri" w:hAnsi="Calibri"/>
          <w:sz w:val="22"/>
          <w:szCs w:val="22"/>
        </w:rPr>
        <w:t xml:space="preserve"> small 2cm incisions will be </w:t>
      </w:r>
      <w:r>
        <w:rPr>
          <w:rFonts w:ascii="Calibri" w:hAnsi="Calibri"/>
          <w:sz w:val="22"/>
          <w:szCs w:val="22"/>
        </w:rPr>
        <w:t xml:space="preserve">made </w:t>
      </w:r>
      <w:r w:rsidR="000F59E7" w:rsidRPr="003D5AD3">
        <w:rPr>
          <w:rFonts w:ascii="Calibri" w:hAnsi="Calibri"/>
          <w:sz w:val="22"/>
          <w:szCs w:val="22"/>
        </w:rPr>
        <w:t xml:space="preserve">in the knee joint for arthroscopic mapping of the articular surface to the Stryker </w:t>
      </w:r>
      <w:proofErr w:type="spellStart"/>
      <w:r w:rsidR="000F59E7" w:rsidRPr="003D5AD3">
        <w:rPr>
          <w:rFonts w:ascii="Calibri" w:hAnsi="Calibri"/>
          <w:sz w:val="22"/>
          <w:szCs w:val="22"/>
        </w:rPr>
        <w:t>PrecisioN</w:t>
      </w:r>
      <w:proofErr w:type="spellEnd"/>
      <w:r w:rsidR="000F59E7" w:rsidRPr="003D5AD3">
        <w:rPr>
          <w:rFonts w:ascii="Calibri" w:hAnsi="Calibri"/>
          <w:sz w:val="22"/>
          <w:szCs w:val="22"/>
        </w:rPr>
        <w:t xml:space="preserve">© Knee Navigation System. </w:t>
      </w:r>
      <w:r w:rsidR="000F59E7">
        <w:rPr>
          <w:rFonts w:ascii="Calibri" w:hAnsi="Calibri"/>
          <w:sz w:val="22"/>
          <w:szCs w:val="22"/>
        </w:rPr>
        <w:t xml:space="preserve"> </w:t>
      </w:r>
      <w:r w:rsidR="000F59E7" w:rsidRPr="003D5AD3">
        <w:rPr>
          <w:rFonts w:ascii="Calibri" w:hAnsi="Calibri"/>
          <w:sz w:val="22"/>
          <w:szCs w:val="22"/>
        </w:rPr>
        <w:t>Data will be collected from the navigation system regarding pre</w:t>
      </w:r>
      <w:r w:rsidR="000F59E7">
        <w:rPr>
          <w:rFonts w:ascii="Calibri" w:hAnsi="Calibri"/>
          <w:sz w:val="22"/>
          <w:szCs w:val="22"/>
        </w:rPr>
        <w:t>-</w:t>
      </w:r>
      <w:r w:rsidR="000F59E7" w:rsidRPr="003D5AD3">
        <w:rPr>
          <w:rFonts w:ascii="Calibri" w:hAnsi="Calibri"/>
          <w:sz w:val="22"/>
          <w:szCs w:val="22"/>
        </w:rPr>
        <w:t xml:space="preserve">operative and post-operative ROM, coronal alignment, </w:t>
      </w:r>
      <w:r w:rsidR="008F66BF">
        <w:rPr>
          <w:rFonts w:ascii="Calibri" w:hAnsi="Calibri"/>
          <w:sz w:val="22"/>
          <w:szCs w:val="22"/>
        </w:rPr>
        <w:t>bony resections</w:t>
      </w:r>
      <w:r w:rsidR="000F59E7" w:rsidRPr="003D5AD3">
        <w:rPr>
          <w:rFonts w:ascii="Calibri" w:hAnsi="Calibri"/>
          <w:sz w:val="22"/>
          <w:szCs w:val="22"/>
        </w:rPr>
        <w:t xml:space="preserve">, </w:t>
      </w:r>
      <w:proofErr w:type="spellStart"/>
      <w:r w:rsidR="000F59E7" w:rsidRPr="003D5AD3">
        <w:rPr>
          <w:rFonts w:ascii="Calibri" w:hAnsi="Calibri"/>
          <w:sz w:val="22"/>
          <w:szCs w:val="22"/>
        </w:rPr>
        <w:t>tibial</w:t>
      </w:r>
      <w:proofErr w:type="spellEnd"/>
      <w:r w:rsidR="000F59E7" w:rsidRPr="003D5AD3">
        <w:rPr>
          <w:rFonts w:ascii="Calibri" w:hAnsi="Calibri"/>
          <w:sz w:val="22"/>
          <w:szCs w:val="22"/>
        </w:rPr>
        <w:t xml:space="preserve"> slope and internal/external rotation of the tibia.</w:t>
      </w:r>
    </w:p>
    <w:p w14:paraId="7D89B9DA" w14:textId="77777777" w:rsidR="000F59E7" w:rsidRPr="003D5AD3" w:rsidRDefault="000F59E7" w:rsidP="000F59E7">
      <w:pPr>
        <w:jc w:val="both"/>
        <w:rPr>
          <w:rFonts w:ascii="Calibri" w:hAnsi="Calibri"/>
          <w:sz w:val="22"/>
          <w:szCs w:val="22"/>
        </w:rPr>
      </w:pPr>
    </w:p>
    <w:p w14:paraId="5883D1F6" w14:textId="5EC5486D" w:rsidR="001A4980" w:rsidRPr="008F66BF" w:rsidRDefault="000F59E7" w:rsidP="00657CB6">
      <w:pPr>
        <w:jc w:val="both"/>
        <w:rPr>
          <w:rFonts w:ascii="Calibri" w:hAnsi="Calibri"/>
          <w:sz w:val="22"/>
          <w:szCs w:val="22"/>
        </w:rPr>
      </w:pPr>
      <w:r w:rsidRPr="003D5AD3">
        <w:rPr>
          <w:rFonts w:ascii="Calibri" w:hAnsi="Calibri"/>
          <w:sz w:val="22"/>
          <w:szCs w:val="22"/>
        </w:rPr>
        <w:t>Appropriate skin incision will be made for the corresponding osteotomy. After bone has been exposed, guide pins will be inserted under fluoroscopy</w:t>
      </w:r>
      <w:r w:rsidR="007241AC">
        <w:rPr>
          <w:rFonts w:ascii="Calibri" w:hAnsi="Calibri"/>
          <w:sz w:val="22"/>
          <w:szCs w:val="22"/>
        </w:rPr>
        <w:t xml:space="preserve"> (x-ray guidance)</w:t>
      </w:r>
      <w:r w:rsidRPr="003D5AD3">
        <w:rPr>
          <w:rFonts w:ascii="Calibri" w:hAnsi="Calibri"/>
          <w:sz w:val="22"/>
          <w:szCs w:val="22"/>
        </w:rPr>
        <w:t xml:space="preserve">. Homan retractors will be used to protect the </w:t>
      </w:r>
      <w:r w:rsidR="005F6783">
        <w:rPr>
          <w:rFonts w:ascii="Calibri" w:hAnsi="Calibri"/>
          <w:sz w:val="22"/>
          <w:szCs w:val="22"/>
        </w:rPr>
        <w:t xml:space="preserve">vital </w:t>
      </w:r>
      <w:r w:rsidRPr="003D5AD3">
        <w:rPr>
          <w:rFonts w:ascii="Calibri" w:hAnsi="Calibri"/>
          <w:sz w:val="22"/>
          <w:szCs w:val="22"/>
        </w:rPr>
        <w:t>posterior</w:t>
      </w:r>
      <w:r w:rsidR="005F6783">
        <w:rPr>
          <w:rFonts w:ascii="Calibri" w:hAnsi="Calibri"/>
          <w:sz w:val="22"/>
          <w:szCs w:val="22"/>
        </w:rPr>
        <w:t xml:space="preserve"> neurovascular</w:t>
      </w:r>
      <w:r w:rsidRPr="003D5AD3">
        <w:rPr>
          <w:rFonts w:ascii="Calibri" w:hAnsi="Calibri"/>
          <w:sz w:val="22"/>
          <w:szCs w:val="22"/>
        </w:rPr>
        <w:t xml:space="preserve"> structures as well as the </w:t>
      </w:r>
      <w:proofErr w:type="spellStart"/>
      <w:r w:rsidRPr="003D5AD3">
        <w:rPr>
          <w:rFonts w:ascii="Calibri" w:hAnsi="Calibri"/>
          <w:sz w:val="22"/>
          <w:szCs w:val="22"/>
        </w:rPr>
        <w:t>tibial</w:t>
      </w:r>
      <w:proofErr w:type="spellEnd"/>
      <w:r w:rsidRPr="003D5AD3">
        <w:rPr>
          <w:rFonts w:ascii="Calibri" w:hAnsi="Calibri"/>
          <w:sz w:val="22"/>
          <w:szCs w:val="22"/>
        </w:rPr>
        <w:t xml:space="preserve"> insertion of the patella tendon as the osteotomy is performed. The osteotomy will be performed under fluoroscopy guidance to ensure no breach of the contralateral cortex</w:t>
      </w:r>
      <w:r w:rsidR="005F6783">
        <w:rPr>
          <w:rFonts w:ascii="Calibri" w:hAnsi="Calibri"/>
          <w:sz w:val="22"/>
          <w:szCs w:val="22"/>
        </w:rPr>
        <w:t xml:space="preserve">. </w:t>
      </w:r>
      <w:r w:rsidRPr="003D5AD3">
        <w:rPr>
          <w:rFonts w:ascii="Calibri" w:hAnsi="Calibri"/>
          <w:sz w:val="22"/>
          <w:szCs w:val="22"/>
        </w:rPr>
        <w:t xml:space="preserve">Wedge chisels will be sequentially inserted to facilitate osteotomy opening. In the case of the lateral closing wedge, the proximal </w:t>
      </w:r>
      <w:proofErr w:type="spellStart"/>
      <w:r w:rsidRPr="003D5AD3">
        <w:rPr>
          <w:rFonts w:ascii="Calibri" w:hAnsi="Calibri"/>
          <w:sz w:val="22"/>
          <w:szCs w:val="22"/>
        </w:rPr>
        <w:t>tibiofibilar</w:t>
      </w:r>
      <w:proofErr w:type="spellEnd"/>
      <w:r w:rsidRPr="003D5AD3">
        <w:rPr>
          <w:rFonts w:ascii="Calibri" w:hAnsi="Calibri"/>
          <w:sz w:val="22"/>
          <w:szCs w:val="22"/>
        </w:rPr>
        <w:t xml:space="preserve"> ligament will be re</w:t>
      </w:r>
      <w:r w:rsidR="00712A06">
        <w:rPr>
          <w:rFonts w:ascii="Calibri" w:hAnsi="Calibri"/>
          <w:sz w:val="22"/>
          <w:szCs w:val="22"/>
        </w:rPr>
        <w:t>leased</w:t>
      </w:r>
      <w:r w:rsidRPr="003D5AD3">
        <w:rPr>
          <w:rFonts w:ascii="Calibri" w:hAnsi="Calibri"/>
          <w:sz w:val="22"/>
          <w:szCs w:val="22"/>
        </w:rPr>
        <w:t xml:space="preserve"> with the periosteum and overlying </w:t>
      </w:r>
      <w:proofErr w:type="spellStart"/>
      <w:r w:rsidRPr="003D5AD3">
        <w:rPr>
          <w:rFonts w:ascii="Calibri" w:hAnsi="Calibri"/>
          <w:sz w:val="22"/>
          <w:szCs w:val="22"/>
        </w:rPr>
        <w:t>tibial</w:t>
      </w:r>
      <w:proofErr w:type="spellEnd"/>
      <w:r w:rsidRPr="003D5AD3">
        <w:rPr>
          <w:rFonts w:ascii="Calibri" w:hAnsi="Calibri"/>
          <w:sz w:val="22"/>
          <w:szCs w:val="22"/>
        </w:rPr>
        <w:t xml:space="preserve"> anterior compartment structures to protect the p</w:t>
      </w:r>
      <w:r w:rsidR="00712A06">
        <w:rPr>
          <w:rFonts w:ascii="Calibri" w:hAnsi="Calibri"/>
          <w:sz w:val="22"/>
          <w:szCs w:val="22"/>
        </w:rPr>
        <w:t>opliteal</w:t>
      </w:r>
      <w:r w:rsidRPr="003D5AD3">
        <w:rPr>
          <w:rFonts w:ascii="Calibri" w:hAnsi="Calibri"/>
          <w:sz w:val="22"/>
          <w:szCs w:val="22"/>
        </w:rPr>
        <w:t xml:space="preserve"> neurovascular bundle and allow better exposure of the lateral cortex. Again retractors will be used to protect appropriate structures and guide pins will be inserted under fluoroscopy and subsequent osteotomy performed in the same manner. </w:t>
      </w:r>
      <w:r w:rsidR="00C359E8">
        <w:rPr>
          <w:rFonts w:ascii="Calibri" w:hAnsi="Calibri"/>
          <w:sz w:val="22"/>
          <w:szCs w:val="22"/>
        </w:rPr>
        <w:t>An extra 2mm of</w:t>
      </w:r>
      <w:r w:rsidRPr="003D5AD3">
        <w:rPr>
          <w:rFonts w:ascii="Calibri" w:hAnsi="Calibri"/>
          <w:sz w:val="22"/>
          <w:szCs w:val="22"/>
        </w:rPr>
        <w:t xml:space="preserve"> bone will be removed</w:t>
      </w:r>
      <w:r w:rsidR="00C359E8">
        <w:rPr>
          <w:rFonts w:ascii="Calibri" w:hAnsi="Calibri"/>
          <w:sz w:val="22"/>
          <w:szCs w:val="22"/>
        </w:rPr>
        <w:t xml:space="preserve"> as per surgical planning</w:t>
      </w:r>
      <w:r w:rsidRPr="003D5AD3">
        <w:rPr>
          <w:rFonts w:ascii="Calibri" w:hAnsi="Calibri"/>
          <w:sz w:val="22"/>
          <w:szCs w:val="22"/>
        </w:rPr>
        <w:t>.</w:t>
      </w:r>
      <w:r w:rsidR="00712A06">
        <w:rPr>
          <w:rFonts w:ascii="Calibri" w:hAnsi="Calibri"/>
          <w:sz w:val="22"/>
          <w:szCs w:val="22"/>
        </w:rPr>
        <w:t xml:space="preserve"> The osteotomy</w:t>
      </w:r>
      <w:r w:rsidRPr="003D5AD3">
        <w:rPr>
          <w:rFonts w:ascii="Calibri" w:hAnsi="Calibri"/>
          <w:sz w:val="22"/>
          <w:szCs w:val="22"/>
        </w:rPr>
        <w:t xml:space="preserve"> will be held in place by </w:t>
      </w:r>
      <w:r w:rsidR="00712A06">
        <w:rPr>
          <w:rFonts w:ascii="Calibri" w:hAnsi="Calibri"/>
          <w:sz w:val="22"/>
          <w:szCs w:val="22"/>
        </w:rPr>
        <w:t>an anatomic specific locking plate</w:t>
      </w:r>
      <w:r w:rsidRPr="003D5AD3">
        <w:rPr>
          <w:rFonts w:ascii="Calibri" w:hAnsi="Calibri"/>
          <w:sz w:val="22"/>
          <w:szCs w:val="22"/>
        </w:rPr>
        <w:t>. A</w:t>
      </w:r>
      <w:r w:rsidR="00712A06">
        <w:rPr>
          <w:rFonts w:ascii="Calibri" w:hAnsi="Calibri"/>
          <w:sz w:val="22"/>
          <w:szCs w:val="22"/>
        </w:rPr>
        <w:t>l</w:t>
      </w:r>
      <w:r w:rsidRPr="003D5AD3">
        <w:rPr>
          <w:rFonts w:ascii="Calibri" w:hAnsi="Calibri"/>
          <w:sz w:val="22"/>
          <w:szCs w:val="22"/>
        </w:rPr>
        <w:t xml:space="preserve">l osteotomies will be standardised </w:t>
      </w:r>
      <w:r w:rsidR="00712A06">
        <w:rPr>
          <w:rFonts w:ascii="Calibri" w:hAnsi="Calibri"/>
          <w:sz w:val="22"/>
          <w:szCs w:val="22"/>
        </w:rPr>
        <w:t xml:space="preserve">to be </w:t>
      </w:r>
      <w:r w:rsidR="00C359E8">
        <w:rPr>
          <w:rFonts w:ascii="Calibri" w:hAnsi="Calibri"/>
          <w:sz w:val="22"/>
          <w:szCs w:val="22"/>
        </w:rPr>
        <w:t>corrected to 3°</w:t>
      </w:r>
      <w:r w:rsidRPr="003D5AD3">
        <w:rPr>
          <w:rFonts w:ascii="Calibri" w:hAnsi="Calibri"/>
          <w:sz w:val="22"/>
          <w:szCs w:val="22"/>
        </w:rPr>
        <w:t xml:space="preserve"> of valgus</w:t>
      </w:r>
      <w:r w:rsidR="00C359E8">
        <w:rPr>
          <w:rFonts w:ascii="Calibri" w:hAnsi="Calibri"/>
          <w:sz w:val="22"/>
          <w:szCs w:val="22"/>
        </w:rPr>
        <w:t xml:space="preserve"> angulation</w:t>
      </w:r>
      <w:r w:rsidRPr="003D5AD3">
        <w:rPr>
          <w:rFonts w:ascii="Calibri" w:hAnsi="Calibri"/>
          <w:sz w:val="22"/>
          <w:szCs w:val="22"/>
        </w:rPr>
        <w:t>.</w:t>
      </w:r>
      <w:r>
        <w:rPr>
          <w:rFonts w:ascii="Calibri" w:hAnsi="Calibri"/>
          <w:sz w:val="22"/>
          <w:szCs w:val="22"/>
        </w:rPr>
        <w:t xml:space="preserve"> </w:t>
      </w:r>
      <w:r w:rsidRPr="003D5AD3">
        <w:rPr>
          <w:rFonts w:ascii="Calibri" w:hAnsi="Calibri"/>
          <w:sz w:val="22"/>
          <w:szCs w:val="22"/>
        </w:rPr>
        <w:t xml:space="preserve">Before closure, dorsalis </w:t>
      </w:r>
      <w:proofErr w:type="spellStart"/>
      <w:r w:rsidRPr="003D5AD3">
        <w:rPr>
          <w:rFonts w:ascii="Calibri" w:hAnsi="Calibri"/>
          <w:sz w:val="22"/>
          <w:szCs w:val="22"/>
        </w:rPr>
        <w:t>pedis</w:t>
      </w:r>
      <w:proofErr w:type="spellEnd"/>
      <w:r w:rsidRPr="003D5AD3">
        <w:rPr>
          <w:rFonts w:ascii="Calibri" w:hAnsi="Calibri"/>
          <w:sz w:val="22"/>
          <w:szCs w:val="22"/>
        </w:rPr>
        <w:t xml:space="preserve"> and posterior </w:t>
      </w:r>
      <w:proofErr w:type="spellStart"/>
      <w:r w:rsidRPr="003D5AD3">
        <w:rPr>
          <w:rFonts w:ascii="Calibri" w:hAnsi="Calibri"/>
          <w:sz w:val="22"/>
          <w:szCs w:val="22"/>
        </w:rPr>
        <w:t>tibial</w:t>
      </w:r>
      <w:proofErr w:type="spellEnd"/>
      <w:r w:rsidRPr="003D5AD3">
        <w:rPr>
          <w:rFonts w:ascii="Calibri" w:hAnsi="Calibri"/>
          <w:sz w:val="22"/>
          <w:szCs w:val="22"/>
        </w:rPr>
        <w:t xml:space="preserve"> </w:t>
      </w:r>
      <w:r w:rsidR="00712A06">
        <w:rPr>
          <w:rFonts w:ascii="Calibri" w:hAnsi="Calibri"/>
          <w:sz w:val="22"/>
          <w:szCs w:val="22"/>
        </w:rPr>
        <w:t xml:space="preserve">peripheral </w:t>
      </w:r>
      <w:r w:rsidRPr="003D5AD3">
        <w:rPr>
          <w:rFonts w:ascii="Calibri" w:hAnsi="Calibri"/>
          <w:sz w:val="22"/>
          <w:szCs w:val="22"/>
        </w:rPr>
        <w:t>pulses will be checked for any vascular compromise. The incision will be</w:t>
      </w:r>
      <w:r w:rsidR="00C359E8">
        <w:rPr>
          <w:rFonts w:ascii="Calibri" w:hAnsi="Calibri"/>
          <w:sz w:val="22"/>
          <w:szCs w:val="22"/>
        </w:rPr>
        <w:t xml:space="preserve"> closed as per wound closure protocol with injection of loc</w:t>
      </w:r>
      <w:r w:rsidRPr="003D5AD3">
        <w:rPr>
          <w:rFonts w:ascii="Calibri" w:hAnsi="Calibri"/>
          <w:sz w:val="22"/>
          <w:szCs w:val="22"/>
        </w:rPr>
        <w:t xml:space="preserve">al anaesthetic </w:t>
      </w:r>
      <w:r w:rsidR="00C359E8">
        <w:rPr>
          <w:rFonts w:ascii="Calibri" w:hAnsi="Calibri"/>
          <w:sz w:val="22"/>
          <w:szCs w:val="22"/>
        </w:rPr>
        <w:t xml:space="preserve">for acute analgesia. </w:t>
      </w:r>
    </w:p>
    <w:p w14:paraId="2B9ABC15" w14:textId="30AF6342" w:rsidR="003A5B15" w:rsidRPr="00856268" w:rsidRDefault="008F66BF" w:rsidP="006D7F4B">
      <w:pPr>
        <w:pStyle w:val="ORIQLSubheading"/>
      </w:pPr>
      <w:r>
        <w:t>Surgical Data</w:t>
      </w:r>
    </w:p>
    <w:p w14:paraId="6A2E2FD1" w14:textId="073462A0" w:rsidR="003A5B15" w:rsidRDefault="003A5B15" w:rsidP="00657CB6">
      <w:pPr>
        <w:jc w:val="both"/>
        <w:rPr>
          <w:rFonts w:ascii="Calibri" w:hAnsi="Calibri"/>
          <w:sz w:val="22"/>
          <w:szCs w:val="22"/>
        </w:rPr>
      </w:pPr>
      <w:r w:rsidRPr="003D5AD3">
        <w:rPr>
          <w:rFonts w:ascii="Calibri" w:hAnsi="Calibri"/>
          <w:sz w:val="22"/>
          <w:szCs w:val="22"/>
        </w:rPr>
        <w:t xml:space="preserve">Data will be collected from the Stryker </w:t>
      </w:r>
      <w:proofErr w:type="spellStart"/>
      <w:r w:rsidRPr="003D5AD3">
        <w:rPr>
          <w:rFonts w:ascii="Calibri" w:hAnsi="Calibri"/>
          <w:sz w:val="22"/>
          <w:szCs w:val="22"/>
        </w:rPr>
        <w:t>PrecisioN</w:t>
      </w:r>
      <w:proofErr w:type="spellEnd"/>
      <w:r w:rsidRPr="003D5AD3">
        <w:rPr>
          <w:rFonts w:ascii="Calibri" w:hAnsi="Calibri"/>
          <w:sz w:val="22"/>
          <w:szCs w:val="22"/>
        </w:rPr>
        <w:t>© Knee Navigation System regarding pre</w:t>
      </w:r>
      <w:r w:rsidR="00682269">
        <w:rPr>
          <w:rFonts w:ascii="Calibri" w:hAnsi="Calibri"/>
          <w:sz w:val="22"/>
          <w:szCs w:val="22"/>
        </w:rPr>
        <w:t>-</w:t>
      </w:r>
      <w:r w:rsidRPr="003D5AD3">
        <w:rPr>
          <w:rFonts w:ascii="Calibri" w:hAnsi="Calibri"/>
          <w:sz w:val="22"/>
          <w:szCs w:val="22"/>
        </w:rPr>
        <w:t xml:space="preserve">operative and post-operative ROM, coronal alignment, </w:t>
      </w:r>
      <w:proofErr w:type="spellStart"/>
      <w:r w:rsidRPr="003D5AD3">
        <w:rPr>
          <w:rFonts w:ascii="Calibri" w:hAnsi="Calibri"/>
          <w:sz w:val="22"/>
          <w:szCs w:val="22"/>
        </w:rPr>
        <w:t>tibial</w:t>
      </w:r>
      <w:proofErr w:type="spellEnd"/>
      <w:r w:rsidRPr="003D5AD3">
        <w:rPr>
          <w:rFonts w:ascii="Calibri" w:hAnsi="Calibri"/>
          <w:sz w:val="22"/>
          <w:szCs w:val="22"/>
        </w:rPr>
        <w:t xml:space="preserve"> slope and internal/external rotation of the tibia.</w:t>
      </w:r>
    </w:p>
    <w:p w14:paraId="60A16FB3" w14:textId="77777777" w:rsidR="004C7ADC" w:rsidRPr="004C7ADC" w:rsidRDefault="004C7ADC" w:rsidP="006D7F4B">
      <w:pPr>
        <w:pStyle w:val="ORIQLSubheading"/>
      </w:pPr>
      <w:r w:rsidRPr="004C7ADC">
        <w:t>Research Design</w:t>
      </w:r>
    </w:p>
    <w:p w14:paraId="65E59E3A" w14:textId="04247F4D" w:rsidR="002C6145" w:rsidRDefault="004C7ADC" w:rsidP="00657CB6">
      <w:pPr>
        <w:jc w:val="both"/>
        <w:rPr>
          <w:rFonts w:ascii="Calibri" w:hAnsi="Calibri"/>
          <w:sz w:val="22"/>
          <w:szCs w:val="22"/>
        </w:rPr>
      </w:pPr>
      <w:r w:rsidRPr="004C7ADC">
        <w:rPr>
          <w:rFonts w:ascii="Calibri" w:eastAsia="Calibri" w:hAnsi="Calibri" w:cs="Times New Roman"/>
          <w:color w:val="000000"/>
          <w:sz w:val="22"/>
          <w:szCs w:val="22"/>
          <w:lang w:val="en-AU"/>
        </w:rPr>
        <w:t>With respect to the Gait Assessment, kinetic and kinematic data will be simultaneously recorded and filmed to correlate with movement.</w:t>
      </w:r>
    </w:p>
    <w:p w14:paraId="4F66444F" w14:textId="77777777" w:rsidR="004C7ADC" w:rsidRPr="003D5AD3" w:rsidRDefault="004C7ADC" w:rsidP="006D7F4B">
      <w:pPr>
        <w:pStyle w:val="ORIQLSubheading"/>
      </w:pPr>
      <w:r>
        <w:t>Sample Size</w:t>
      </w:r>
    </w:p>
    <w:p w14:paraId="21576657" w14:textId="77777777" w:rsidR="004C7ADC" w:rsidRPr="003D5AD3" w:rsidRDefault="004C7ADC" w:rsidP="004C7ADC">
      <w:pPr>
        <w:jc w:val="both"/>
        <w:rPr>
          <w:rFonts w:ascii="Calibri" w:hAnsi="Calibri"/>
          <w:sz w:val="22"/>
          <w:szCs w:val="22"/>
        </w:rPr>
      </w:pPr>
      <w:r w:rsidRPr="003D5AD3">
        <w:rPr>
          <w:rFonts w:ascii="Calibri" w:hAnsi="Calibri"/>
          <w:sz w:val="22"/>
          <w:szCs w:val="22"/>
        </w:rPr>
        <w:t xml:space="preserve">Sample size and statistical power </w:t>
      </w:r>
    </w:p>
    <w:p w14:paraId="143C4C9B" w14:textId="4CE83ACC" w:rsidR="004C7ADC" w:rsidRPr="003D5AD3" w:rsidRDefault="004C7ADC" w:rsidP="004C7ADC">
      <w:pPr>
        <w:jc w:val="both"/>
        <w:rPr>
          <w:rFonts w:ascii="Calibri" w:hAnsi="Calibri"/>
          <w:sz w:val="22"/>
          <w:szCs w:val="22"/>
        </w:rPr>
      </w:pPr>
      <w:r w:rsidRPr="003D5AD3">
        <w:rPr>
          <w:rFonts w:ascii="Calibri" w:hAnsi="Calibri"/>
          <w:sz w:val="22"/>
          <w:szCs w:val="22"/>
        </w:rPr>
        <w:t xml:space="preserve">Given there is no previous study that has looked at navigated HTOs, or any surrogate that we can use to perform sample size calculation, we will initially recruit 10 patients to each arm of the study, and perform interim calculations </w:t>
      </w:r>
      <w:r w:rsidRPr="003D5AD3">
        <w:rPr>
          <w:rFonts w:ascii="Calibri" w:hAnsi="Calibri"/>
          <w:sz w:val="22"/>
          <w:szCs w:val="22"/>
        </w:rPr>
        <w:lastRenderedPageBreak/>
        <w:t>for statistical difference, if this is insufficient we will recruit a further 10 patients to each arm, giving us a total of 40 patients in the complete study.</w:t>
      </w:r>
    </w:p>
    <w:p w14:paraId="68538729" w14:textId="77777777" w:rsidR="004C7ADC" w:rsidRPr="00DA7908" w:rsidRDefault="004C7ADC" w:rsidP="006D7F4B">
      <w:pPr>
        <w:pStyle w:val="ORIQLSubheading"/>
      </w:pPr>
      <w:r>
        <w:t>Statistical Analysis</w:t>
      </w:r>
    </w:p>
    <w:p w14:paraId="0ABEA901" w14:textId="746D47C1" w:rsidR="004C7ADC" w:rsidRDefault="00237C16" w:rsidP="00657CB6">
      <w:pPr>
        <w:jc w:val="both"/>
        <w:rPr>
          <w:rFonts w:ascii="Calibri" w:hAnsi="Calibri"/>
          <w:sz w:val="22"/>
          <w:szCs w:val="22"/>
        </w:rPr>
      </w:pPr>
      <w:r w:rsidRPr="006955E7">
        <w:rPr>
          <w:rFonts w:ascii="Calibri" w:hAnsi="Calibri"/>
          <w:sz w:val="22"/>
          <w:szCs w:val="22"/>
        </w:rPr>
        <w:t>All data will be analysed using the Statistical Sciences (SPSS, Version 22).</w:t>
      </w:r>
      <w:r w:rsidR="004C7ADC" w:rsidRPr="003D5AD3">
        <w:rPr>
          <w:rFonts w:ascii="Calibri" w:hAnsi="Calibri"/>
          <w:sz w:val="22"/>
          <w:szCs w:val="22"/>
        </w:rPr>
        <w:t xml:space="preserve"> Raw data will be de-identified and given to a</w:t>
      </w:r>
      <w:r w:rsidR="004C7ADC">
        <w:rPr>
          <w:rFonts w:ascii="Calibri" w:hAnsi="Calibri"/>
          <w:sz w:val="22"/>
          <w:szCs w:val="22"/>
        </w:rPr>
        <w:t>n</w:t>
      </w:r>
      <w:r w:rsidR="004C7ADC" w:rsidRPr="003D5AD3">
        <w:rPr>
          <w:rFonts w:ascii="Calibri" w:hAnsi="Calibri"/>
          <w:sz w:val="22"/>
          <w:szCs w:val="22"/>
        </w:rPr>
        <w:t xml:space="preserve"> independent statistician to perform the appropriate statistical testing.</w:t>
      </w:r>
    </w:p>
    <w:p w14:paraId="1BA45C70" w14:textId="77777777" w:rsidR="004C7ADC" w:rsidRPr="004C7ADC" w:rsidRDefault="004C7ADC" w:rsidP="006D7F4B">
      <w:pPr>
        <w:pStyle w:val="ORIQLHeading2"/>
      </w:pPr>
      <w:r w:rsidRPr="004C7ADC">
        <w:t>DATA MANAGEMENT</w:t>
      </w:r>
    </w:p>
    <w:p w14:paraId="0B7AF581" w14:textId="77777777"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 xml:space="preserve">Data may be captured and monitored by one of two methods. </w:t>
      </w:r>
    </w:p>
    <w:p w14:paraId="07290DEA" w14:textId="77777777"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 xml:space="preserve">1. ORIQL/FORCE DB: Data collected by Investigator, including mandatory identification data and assessments will be input directly onto the ORIQL/FORCE database. Patients will answer PROMS assessment questionnaires electronically either in practice or by email. Patients will be randomised post consent, and provided with a patient study number. (Pending HREC approval) </w:t>
      </w:r>
    </w:p>
    <w:p w14:paraId="127BA685" w14:textId="5EDD7CE2" w:rsidR="004C7ADC" w:rsidRPr="006D7F4B" w:rsidRDefault="004C7ADC" w:rsidP="006D7F4B">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2. Patient Study Folders:  Data will be recorded into patient study case report forms (study folders). During data monitoring phase, the data will be transcribed and entered into patient database. Patients' details will be stored on an orthopaedic specific research database at ORIQL (SOCRATES), which will include name and date of birth as mandatory identifiers. This will allow easy identification of patients to review the data collected during the research process. The database is password protected with limited access only to the named investigators.</w:t>
      </w:r>
    </w:p>
    <w:p w14:paraId="46ECF817" w14:textId="77777777" w:rsidR="004C7ADC" w:rsidRPr="004C7ADC" w:rsidRDefault="004C7ADC" w:rsidP="006D7F4B">
      <w:pPr>
        <w:pStyle w:val="ORIQLHeading2"/>
        <w:rPr>
          <w:lang w:val="en-AU"/>
        </w:rPr>
      </w:pPr>
      <w:r w:rsidRPr="004C7ADC">
        <w:rPr>
          <w:lang w:val="en-AU"/>
        </w:rPr>
        <w:t>ETHICAL CONSIDERATIONS</w:t>
      </w:r>
    </w:p>
    <w:p w14:paraId="0BF66266" w14:textId="77777777"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This study will be submitted to the Principal Investigators Ethics Committee, Mater Health Services North Queensland Ltd Human Research Ethics Committee.</w:t>
      </w:r>
    </w:p>
    <w:p w14:paraId="0629A6F2" w14:textId="77777777"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 xml:space="preserve">The study will be registered prior to trial commencement with the ANZCTR.  </w:t>
      </w:r>
    </w:p>
    <w:p w14:paraId="48EDF2C4" w14:textId="1F3C96B3" w:rsidR="001A4980" w:rsidRDefault="004C7ADC" w:rsidP="006D7F4B">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Participants will be provided with carpark passes to enable participation at the Gait Laboratory which is located at the Douglas Campus at James Cook University.  Gait Lab costs will be covered by the investigators not the study participants.</w:t>
      </w:r>
      <w:r w:rsidR="008F66BF">
        <w:rPr>
          <w:rFonts w:ascii="Calibri" w:eastAsia="Calibri" w:hAnsi="Calibri" w:cs="Times New Roman"/>
          <w:color w:val="000000"/>
          <w:sz w:val="22"/>
          <w:szCs w:val="22"/>
          <w:lang w:val="en-AU"/>
        </w:rPr>
        <w:t xml:space="preserve"> </w:t>
      </w:r>
      <w:r w:rsidRPr="004C7ADC">
        <w:rPr>
          <w:rFonts w:ascii="Calibri" w:eastAsia="Calibri" w:hAnsi="Calibri" w:cs="Times New Roman"/>
          <w:color w:val="000000"/>
          <w:sz w:val="22"/>
          <w:szCs w:val="22"/>
          <w:lang w:val="en-AU"/>
        </w:rPr>
        <w:t>Ethics approval will be submitted to James Cook University Ethics Review board along with supporting documentation for site approval.</w:t>
      </w:r>
    </w:p>
    <w:p w14:paraId="64536D6B" w14:textId="32498131" w:rsidR="004C7ADC" w:rsidRPr="001A4980" w:rsidRDefault="004C7ADC" w:rsidP="006D7F4B">
      <w:pPr>
        <w:pStyle w:val="ORIQLHeading2"/>
        <w:rPr>
          <w:lang w:val="en-AU"/>
        </w:rPr>
      </w:pPr>
      <w:r w:rsidRPr="004C7ADC">
        <w:rPr>
          <w:lang w:val="en-AU"/>
        </w:rPr>
        <w:t>FEASIBILITY</w:t>
      </w:r>
    </w:p>
    <w:p w14:paraId="73366CB8" w14:textId="0E3D932D"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The administrating institution has conducted collaborative research utilizing the Gait Laboratory which is still undergoing patient recruitment.  A contract is in place for the collaboration between JCU and ORIQL for the utilization of the Gait Laboratory Facility.  The lead JCU investigator had contributed to other published ORIQL research; all investigators have extensive experience in performing and publishing clinical studies in Orthopaedics.</w:t>
      </w:r>
    </w:p>
    <w:p w14:paraId="09F5C5C2" w14:textId="77777777" w:rsidR="004C7ADC" w:rsidRPr="004C7ADC" w:rsidRDefault="004C7ADC" w:rsidP="006D7F4B">
      <w:pPr>
        <w:pStyle w:val="ORIQLHeading2"/>
        <w:rPr>
          <w:lang w:val="en-AU"/>
        </w:rPr>
      </w:pPr>
      <w:r w:rsidRPr="004C7ADC">
        <w:rPr>
          <w:lang w:val="en-AU"/>
        </w:rPr>
        <w:t>DISSEMINATION OF RESULTS AND PUBLICATION</w:t>
      </w:r>
    </w:p>
    <w:p w14:paraId="34B06125" w14:textId="77777777" w:rsidR="004C7ADC" w:rsidRPr="004C7ADC" w:rsidRDefault="004C7ADC" w:rsidP="004C7ADC">
      <w:pPr>
        <w:spacing w:line="276" w:lineRule="auto"/>
        <w:rPr>
          <w:rFonts w:ascii="Calibri" w:eastAsia="Calibri" w:hAnsi="Calibri" w:cs="Times New Roman"/>
          <w:color w:val="000000"/>
          <w:sz w:val="22"/>
          <w:szCs w:val="22"/>
          <w:lang w:val="en-AU"/>
        </w:rPr>
      </w:pPr>
      <w:r w:rsidRPr="004C7ADC">
        <w:rPr>
          <w:rFonts w:ascii="Calibri" w:eastAsia="Calibri" w:hAnsi="Calibri" w:cs="Times New Roman"/>
          <w:color w:val="000000"/>
          <w:sz w:val="22"/>
          <w:szCs w:val="22"/>
          <w:lang w:val="en-AU"/>
        </w:rPr>
        <w:t xml:space="preserve">The results of the study will be presented at national and international orthopaedic scientific meetings such as the Australian Orthopaedic Association (AOA) Annual Scientific Meeting.  Results will be published in a high impact surgical journal and will be disseminated via various forms of media.  Given the nature of this data, there is the capacity for the Sponsor to publish a White Paper in collaboration with the investigators. </w:t>
      </w:r>
    </w:p>
    <w:p w14:paraId="6D8B8EB9" w14:textId="77777777" w:rsidR="004C7ADC" w:rsidRPr="004C7ADC" w:rsidRDefault="004C7ADC" w:rsidP="004C7ADC">
      <w:pPr>
        <w:spacing w:line="276" w:lineRule="auto"/>
        <w:rPr>
          <w:rFonts w:ascii="Calibri" w:eastAsia="Calibri" w:hAnsi="Calibri" w:cs="Times New Roman"/>
          <w:b/>
          <w:bCs/>
          <w:sz w:val="22"/>
          <w:szCs w:val="22"/>
          <w:lang w:val="en-AU"/>
        </w:rPr>
      </w:pPr>
    </w:p>
    <w:p w14:paraId="74443AE9" w14:textId="25E49CB0" w:rsidR="00FF5482" w:rsidRPr="006D7F4B" w:rsidRDefault="004C7ADC" w:rsidP="006D7F4B">
      <w:pPr>
        <w:spacing w:line="276" w:lineRule="auto"/>
        <w:rPr>
          <w:rFonts w:ascii="Calibri" w:eastAsia="Calibri" w:hAnsi="Calibri" w:cs="Times New Roman"/>
          <w:bCs/>
          <w:sz w:val="22"/>
          <w:szCs w:val="22"/>
          <w:lang w:val="en-AU"/>
        </w:rPr>
      </w:pPr>
      <w:r w:rsidRPr="004C7ADC">
        <w:rPr>
          <w:rFonts w:ascii="Calibri" w:eastAsia="Calibri" w:hAnsi="Calibri" w:cs="Times New Roman"/>
          <w:bCs/>
          <w:sz w:val="22"/>
          <w:szCs w:val="22"/>
          <w:lang w:val="en-AU"/>
        </w:rPr>
        <w:lastRenderedPageBreak/>
        <w:t>Authorship will be under the name of Investigators belonging to ORIQL, and by association to James Cook University.</w:t>
      </w:r>
    </w:p>
    <w:p w14:paraId="2843F49E" w14:textId="0B8D90BE" w:rsidR="00D24BB3" w:rsidRPr="003D5AD3" w:rsidRDefault="00657CB6" w:rsidP="006D7F4B">
      <w:pPr>
        <w:pStyle w:val="ORIQLHeading2"/>
      </w:pPr>
      <w:r w:rsidRPr="003D5AD3">
        <w:t xml:space="preserve">REFERENCES </w:t>
      </w:r>
    </w:p>
    <w:p w14:paraId="1D0C5246" w14:textId="490AB06A" w:rsidR="00C012C0" w:rsidRPr="003D5AD3" w:rsidRDefault="00DF190F"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sz w:val="22"/>
          <w:szCs w:val="22"/>
        </w:rPr>
        <w:fldChar w:fldCharType="begin" w:fldLock="1"/>
      </w:r>
      <w:r w:rsidRPr="003D5AD3">
        <w:rPr>
          <w:rFonts w:ascii="Calibri" w:hAnsi="Calibri"/>
          <w:sz w:val="22"/>
          <w:szCs w:val="22"/>
        </w:rPr>
        <w:instrText xml:space="preserve">ADDIN Mendeley Bibliography CSL_BIBLIOGRAPHY </w:instrText>
      </w:r>
      <w:r w:rsidRPr="003D5AD3">
        <w:rPr>
          <w:rFonts w:ascii="Calibri" w:hAnsi="Calibri"/>
          <w:sz w:val="22"/>
          <w:szCs w:val="22"/>
        </w:rPr>
        <w:fldChar w:fldCharType="separate"/>
      </w:r>
      <w:r w:rsidR="00C012C0" w:rsidRPr="003D5AD3">
        <w:rPr>
          <w:rFonts w:ascii="Calibri" w:hAnsi="Calibri" w:cs="Arial"/>
          <w:noProof/>
          <w:sz w:val="22"/>
          <w:szCs w:val="22"/>
          <w:lang w:val="en-US"/>
        </w:rPr>
        <w:t xml:space="preserve">1. </w:t>
      </w:r>
      <w:r w:rsidR="00C012C0" w:rsidRPr="003D5AD3">
        <w:rPr>
          <w:rFonts w:ascii="Calibri" w:hAnsi="Calibri" w:cs="Arial"/>
          <w:noProof/>
          <w:sz w:val="22"/>
          <w:szCs w:val="22"/>
          <w:lang w:val="en-US"/>
        </w:rPr>
        <w:tab/>
        <w:t xml:space="preserve">Nerhus TK, Ekeland A, Solberg G, Sivertsen EA, Madsen JE, Heir S. Radiological outcomes in a randomized trial comparing opening wedge and closing wedge techniques of high tibial osteotomy. </w:t>
      </w:r>
      <w:r w:rsidR="00C012C0" w:rsidRPr="003D5AD3">
        <w:rPr>
          <w:rFonts w:ascii="Calibri" w:hAnsi="Calibri" w:cs="Arial"/>
          <w:i/>
          <w:iCs/>
          <w:noProof/>
          <w:sz w:val="22"/>
          <w:szCs w:val="22"/>
          <w:lang w:val="en-US"/>
        </w:rPr>
        <w:t>Knee Surgery, Sport Traumatol Arthrosc</w:t>
      </w:r>
      <w:r w:rsidR="00C012C0" w:rsidRPr="003D5AD3">
        <w:rPr>
          <w:rFonts w:ascii="Calibri" w:hAnsi="Calibri" w:cs="Arial"/>
          <w:noProof/>
          <w:sz w:val="22"/>
          <w:szCs w:val="22"/>
          <w:lang w:val="en-US"/>
        </w:rPr>
        <w:t>. 2015. doi:10.1007/s00167-015-3817-z.</w:t>
      </w:r>
    </w:p>
    <w:p w14:paraId="7CBD138E"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2. </w:t>
      </w:r>
      <w:r w:rsidRPr="003D5AD3">
        <w:rPr>
          <w:rFonts w:ascii="Calibri" w:hAnsi="Calibri" w:cs="Arial"/>
          <w:noProof/>
          <w:sz w:val="22"/>
          <w:szCs w:val="22"/>
          <w:lang w:val="en-US"/>
        </w:rPr>
        <w:tab/>
        <w:t xml:space="preserve">Amzallag J, Pujol N, Maqdes A, Beaufils P, Judet T, Catonne Y. Patellar height modification after high tibial osteotomy by either medial opening-wedge or lateral closing-wedge osteotomies. </w:t>
      </w:r>
      <w:r w:rsidRPr="003D5AD3">
        <w:rPr>
          <w:rFonts w:ascii="Calibri" w:hAnsi="Calibri" w:cs="Arial"/>
          <w:i/>
          <w:iCs/>
          <w:noProof/>
          <w:sz w:val="22"/>
          <w:szCs w:val="22"/>
          <w:lang w:val="en-US"/>
        </w:rPr>
        <w:t>Knee Surgery, Sport Traumatol Arthrosc</w:t>
      </w:r>
      <w:r w:rsidRPr="003D5AD3">
        <w:rPr>
          <w:rFonts w:ascii="Calibri" w:hAnsi="Calibri" w:cs="Arial"/>
          <w:noProof/>
          <w:sz w:val="22"/>
          <w:szCs w:val="22"/>
          <w:lang w:val="en-US"/>
        </w:rPr>
        <w:t>. 2013;21(1):255-259. doi:10.1007/s00167-012-2304-z.</w:t>
      </w:r>
    </w:p>
    <w:p w14:paraId="7CA41D67"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3. </w:t>
      </w:r>
      <w:r w:rsidRPr="003D5AD3">
        <w:rPr>
          <w:rFonts w:ascii="Calibri" w:hAnsi="Calibri" w:cs="Arial"/>
          <w:noProof/>
          <w:sz w:val="22"/>
          <w:szCs w:val="22"/>
          <w:lang w:val="en-US"/>
        </w:rPr>
        <w:tab/>
        <w:t>Na YG, Eom SH, Kim SJ. The use of navigation in medial opening wedge high tibial osteotomy can improve tibial slope maintenance and reduce radiation exposure. 2016:499-507. doi:10.1007/s00264-015-2880-x.</w:t>
      </w:r>
    </w:p>
    <w:p w14:paraId="3F08EB22"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4. </w:t>
      </w:r>
      <w:r w:rsidRPr="003D5AD3">
        <w:rPr>
          <w:rFonts w:ascii="Calibri" w:hAnsi="Calibri" w:cs="Arial"/>
          <w:noProof/>
          <w:sz w:val="22"/>
          <w:szCs w:val="22"/>
          <w:lang w:val="en-US"/>
        </w:rPr>
        <w:tab/>
        <w:t xml:space="preserve">Ihle SSC, Döbele DWES, Ateschrang USA. Surgical accuracy in high tibial osteotomy : coronal equivalence of computer navigation and gap measurement. </w:t>
      </w:r>
      <w:r w:rsidRPr="003D5AD3">
        <w:rPr>
          <w:rFonts w:ascii="Calibri" w:hAnsi="Calibri" w:cs="Arial"/>
          <w:i/>
          <w:iCs/>
          <w:noProof/>
          <w:sz w:val="22"/>
          <w:szCs w:val="22"/>
          <w:lang w:val="en-US"/>
        </w:rPr>
        <w:t>Knee Surgery, Sport Traumatol Arthrosc</w:t>
      </w:r>
      <w:r w:rsidRPr="003D5AD3">
        <w:rPr>
          <w:rFonts w:ascii="Calibri" w:hAnsi="Calibri" w:cs="Arial"/>
          <w:noProof/>
          <w:sz w:val="22"/>
          <w:szCs w:val="22"/>
          <w:lang w:val="en-US"/>
        </w:rPr>
        <w:t>. 2016. doi:10.1007/s00167-016-3983-7.</w:t>
      </w:r>
    </w:p>
    <w:p w14:paraId="543154C9"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5. </w:t>
      </w:r>
      <w:r w:rsidRPr="003D5AD3">
        <w:rPr>
          <w:rFonts w:ascii="Calibri" w:hAnsi="Calibri" w:cs="Arial"/>
          <w:noProof/>
          <w:sz w:val="22"/>
          <w:szCs w:val="22"/>
          <w:lang w:val="en-US"/>
        </w:rPr>
        <w:tab/>
        <w:t xml:space="preserve">DeMeo PJ, Johnson EM, Chiang PP, Flamm AM, Miller MC. Midterm Follow-up of Opening-Wedge High Tibial Osteotomy. </w:t>
      </w:r>
      <w:r w:rsidRPr="003D5AD3">
        <w:rPr>
          <w:rFonts w:ascii="Calibri" w:hAnsi="Calibri" w:cs="Arial"/>
          <w:i/>
          <w:iCs/>
          <w:noProof/>
          <w:sz w:val="22"/>
          <w:szCs w:val="22"/>
          <w:lang w:val="en-US"/>
        </w:rPr>
        <w:t>Am J Sports Med</w:t>
      </w:r>
      <w:r w:rsidRPr="003D5AD3">
        <w:rPr>
          <w:rFonts w:ascii="Calibri" w:hAnsi="Calibri" w:cs="Arial"/>
          <w:noProof/>
          <w:sz w:val="22"/>
          <w:szCs w:val="22"/>
          <w:lang w:val="en-US"/>
        </w:rPr>
        <w:t>. 2010;38(10):2077-2084. doi:10.1177/0363546510371371.</w:t>
      </w:r>
    </w:p>
    <w:p w14:paraId="038E9045"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6. </w:t>
      </w:r>
      <w:r w:rsidRPr="003D5AD3">
        <w:rPr>
          <w:rFonts w:ascii="Calibri" w:hAnsi="Calibri" w:cs="Arial"/>
          <w:noProof/>
          <w:sz w:val="22"/>
          <w:szCs w:val="22"/>
          <w:lang w:val="en-US"/>
        </w:rPr>
        <w:tab/>
        <w:t xml:space="preserve">Phillips CL, Silver D a T, Schranz PJ, Mandalia V. The measurement of patellar height: a review of the methods of imaging. </w:t>
      </w:r>
      <w:r w:rsidRPr="003D5AD3">
        <w:rPr>
          <w:rFonts w:ascii="Calibri" w:hAnsi="Calibri" w:cs="Arial"/>
          <w:i/>
          <w:iCs/>
          <w:noProof/>
          <w:sz w:val="22"/>
          <w:szCs w:val="22"/>
          <w:lang w:val="en-US"/>
        </w:rPr>
        <w:t>J Bone Joint Surg Br</w:t>
      </w:r>
      <w:r w:rsidRPr="003D5AD3">
        <w:rPr>
          <w:rFonts w:ascii="Calibri" w:hAnsi="Calibri" w:cs="Arial"/>
          <w:noProof/>
          <w:sz w:val="22"/>
          <w:szCs w:val="22"/>
          <w:lang w:val="en-US"/>
        </w:rPr>
        <w:t>. 2010;92(8):1045-1053. doi:10.1302/0301-620X.92B8.23794.</w:t>
      </w:r>
    </w:p>
    <w:p w14:paraId="0F41541A"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lang w:val="en-US"/>
        </w:rPr>
      </w:pPr>
      <w:r w:rsidRPr="003D5AD3">
        <w:rPr>
          <w:rFonts w:ascii="Calibri" w:hAnsi="Calibri" w:cs="Arial"/>
          <w:noProof/>
          <w:sz w:val="22"/>
          <w:szCs w:val="22"/>
          <w:lang w:val="en-US"/>
        </w:rPr>
        <w:t xml:space="preserve">7. </w:t>
      </w:r>
      <w:r w:rsidRPr="003D5AD3">
        <w:rPr>
          <w:rFonts w:ascii="Calibri" w:hAnsi="Calibri" w:cs="Arial"/>
          <w:noProof/>
          <w:sz w:val="22"/>
          <w:szCs w:val="22"/>
          <w:lang w:val="en-US"/>
        </w:rPr>
        <w:tab/>
        <w:t xml:space="preserve">Wang D, Jones MH, Khair MM, Miniaci A. Patient-reported outcome measures for the knee. </w:t>
      </w:r>
      <w:r w:rsidRPr="003D5AD3">
        <w:rPr>
          <w:rFonts w:ascii="Calibri" w:hAnsi="Calibri" w:cs="Arial"/>
          <w:i/>
          <w:iCs/>
          <w:noProof/>
          <w:sz w:val="22"/>
          <w:szCs w:val="22"/>
          <w:lang w:val="en-US"/>
        </w:rPr>
        <w:t>J Knee Surg</w:t>
      </w:r>
      <w:r w:rsidRPr="003D5AD3">
        <w:rPr>
          <w:rFonts w:ascii="Calibri" w:hAnsi="Calibri" w:cs="Arial"/>
          <w:noProof/>
          <w:sz w:val="22"/>
          <w:szCs w:val="22"/>
          <w:lang w:val="en-US"/>
        </w:rPr>
        <w:t>. 2010;23(3):137-151. doi:10.1055/s-0030-1268691.</w:t>
      </w:r>
    </w:p>
    <w:p w14:paraId="5844234A" w14:textId="77777777" w:rsidR="00C012C0" w:rsidRPr="003D5AD3" w:rsidRDefault="00C012C0" w:rsidP="00C012C0">
      <w:pPr>
        <w:widowControl w:val="0"/>
        <w:autoSpaceDE w:val="0"/>
        <w:autoSpaceDN w:val="0"/>
        <w:adjustRightInd w:val="0"/>
        <w:ind w:left="640" w:hanging="640"/>
        <w:rPr>
          <w:rFonts w:ascii="Calibri" w:hAnsi="Calibri" w:cs="Arial"/>
          <w:noProof/>
          <w:sz w:val="22"/>
          <w:szCs w:val="22"/>
        </w:rPr>
      </w:pPr>
      <w:r w:rsidRPr="003D5AD3">
        <w:rPr>
          <w:rFonts w:ascii="Calibri" w:hAnsi="Calibri" w:cs="Arial"/>
          <w:noProof/>
          <w:sz w:val="22"/>
          <w:szCs w:val="22"/>
          <w:lang w:val="en-US"/>
        </w:rPr>
        <w:t xml:space="preserve">8. </w:t>
      </w:r>
      <w:r w:rsidRPr="003D5AD3">
        <w:rPr>
          <w:rFonts w:ascii="Calibri" w:hAnsi="Calibri" w:cs="Arial"/>
          <w:noProof/>
          <w:sz w:val="22"/>
          <w:szCs w:val="22"/>
          <w:lang w:val="en-US"/>
        </w:rPr>
        <w:tab/>
        <w:t xml:space="preserve">Schulz KF, Grimes DA. Generation of allocation sequences in randomised trials: Chance, not choice. </w:t>
      </w:r>
      <w:r w:rsidRPr="003D5AD3">
        <w:rPr>
          <w:rFonts w:ascii="Calibri" w:hAnsi="Calibri" w:cs="Arial"/>
          <w:i/>
          <w:iCs/>
          <w:noProof/>
          <w:sz w:val="22"/>
          <w:szCs w:val="22"/>
          <w:lang w:val="en-US"/>
        </w:rPr>
        <w:t>Lancet</w:t>
      </w:r>
      <w:r w:rsidRPr="003D5AD3">
        <w:rPr>
          <w:rFonts w:ascii="Calibri" w:hAnsi="Calibri" w:cs="Arial"/>
          <w:noProof/>
          <w:sz w:val="22"/>
          <w:szCs w:val="22"/>
          <w:lang w:val="en-US"/>
        </w:rPr>
        <w:t>. 2002;359(9305):515-519. doi:10.1016/S0140-6736(02)07683-3.</w:t>
      </w:r>
    </w:p>
    <w:p w14:paraId="5E15FCDF" w14:textId="06CF3209" w:rsidR="002C6145" w:rsidRPr="003D5AD3" w:rsidRDefault="00DF190F" w:rsidP="00C012C0">
      <w:pPr>
        <w:widowControl w:val="0"/>
        <w:autoSpaceDE w:val="0"/>
        <w:autoSpaceDN w:val="0"/>
        <w:adjustRightInd w:val="0"/>
        <w:ind w:left="640" w:hanging="640"/>
        <w:rPr>
          <w:rFonts w:ascii="Calibri" w:hAnsi="Calibri"/>
          <w:sz w:val="22"/>
          <w:szCs w:val="22"/>
        </w:rPr>
      </w:pPr>
      <w:r w:rsidRPr="003D5AD3">
        <w:rPr>
          <w:rFonts w:ascii="Calibri" w:hAnsi="Calibri"/>
          <w:sz w:val="22"/>
          <w:szCs w:val="22"/>
        </w:rPr>
        <w:fldChar w:fldCharType="end"/>
      </w:r>
    </w:p>
    <w:sectPr w:rsidR="002C6145" w:rsidRPr="003D5AD3" w:rsidSect="00420330">
      <w:headerReference w:type="default" r:id="rId13"/>
      <w:footerReference w:type="defaul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90987" w14:textId="77777777" w:rsidR="00244B59" w:rsidRDefault="00244B59" w:rsidP="00494373">
      <w:r>
        <w:separator/>
      </w:r>
    </w:p>
  </w:endnote>
  <w:endnote w:type="continuationSeparator" w:id="0">
    <w:p w14:paraId="0F476124" w14:textId="77777777" w:rsidR="00244B59" w:rsidRDefault="00244B59" w:rsidP="0049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5000A1FF"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57ACE" w14:textId="5D16A91A" w:rsidR="00420330" w:rsidRPr="00885FEE" w:rsidRDefault="00885FEE" w:rsidP="00885FEE">
    <w:pPr>
      <w:pStyle w:val="Footer"/>
      <w:rPr>
        <w:rFonts w:ascii="Calibri" w:hAnsi="Calibri"/>
        <w:i/>
        <w:sz w:val="22"/>
        <w:szCs w:val="22"/>
      </w:rPr>
    </w:pPr>
    <w:r>
      <w:rPr>
        <w:rFonts w:ascii="Calibri" w:hAnsi="Calibri"/>
        <w:i/>
        <w:sz w:val="22"/>
        <w:szCs w:val="22"/>
      </w:rPr>
      <w:t>Version 2.2</w:t>
    </w:r>
    <w:r w:rsidR="009B4B78" w:rsidRPr="00885FEE">
      <w:rPr>
        <w:rFonts w:ascii="Calibri" w:hAnsi="Calibri"/>
        <w:i/>
        <w:sz w:val="22"/>
        <w:szCs w:val="22"/>
      </w:rPr>
      <w:t xml:space="preserve">                               </w:t>
    </w:r>
    <w:r>
      <w:rPr>
        <w:rFonts w:ascii="Calibri" w:hAnsi="Calibri"/>
        <w:i/>
        <w:sz w:val="22"/>
        <w:szCs w:val="22"/>
      </w:rPr>
      <w:tab/>
    </w:r>
    <w:r w:rsidR="009B4B78" w:rsidRPr="00885FEE">
      <w:rPr>
        <w:rFonts w:ascii="Calibri" w:hAnsi="Calibri"/>
        <w:i/>
        <w:sz w:val="22"/>
        <w:szCs w:val="22"/>
      </w:rPr>
      <w:t xml:space="preserve"> ORIQL</w:t>
    </w:r>
    <w:r w:rsidR="0085239A" w:rsidRPr="00885FEE">
      <w:rPr>
        <w:rFonts w:ascii="Calibri" w:hAnsi="Calibri"/>
        <w:i/>
        <w:sz w:val="22"/>
        <w:szCs w:val="22"/>
      </w:rPr>
      <w:tab/>
    </w:r>
    <w:r w:rsidR="00BA5D4E">
      <w:rPr>
        <w:rFonts w:ascii="Calibri" w:hAnsi="Calibri"/>
        <w:i/>
        <w:sz w:val="22"/>
        <w:szCs w:val="22"/>
      </w:rPr>
      <w:t>Updated: 21</w:t>
    </w:r>
    <w:r w:rsidR="003D5AD3" w:rsidRPr="00885FEE">
      <w:rPr>
        <w:rFonts w:ascii="Calibri" w:hAnsi="Calibri"/>
        <w:i/>
        <w:sz w:val="22"/>
        <w:szCs w:val="22"/>
      </w:rPr>
      <w:t>/07</w:t>
    </w:r>
    <w:r w:rsidR="009B4B78" w:rsidRPr="00885FEE">
      <w:rPr>
        <w:rFonts w:ascii="Calibri" w:hAnsi="Calibri"/>
        <w:i/>
        <w:sz w:val="22"/>
        <w:szCs w:val="22"/>
      </w:rPr>
      <w:t>/2016</w:t>
    </w:r>
  </w:p>
  <w:p w14:paraId="569F96FF" w14:textId="77777777" w:rsidR="00885FEE" w:rsidRPr="00885FEE" w:rsidRDefault="00420330" w:rsidP="00885FEE">
    <w:pPr>
      <w:jc w:val="both"/>
      <w:rPr>
        <w:rFonts w:ascii="Calibri" w:hAnsi="Calibri"/>
        <w:b/>
        <w:i/>
        <w:color w:val="000000"/>
        <w:sz w:val="20"/>
        <w:szCs w:val="20"/>
      </w:rPr>
    </w:pPr>
    <w:r w:rsidRPr="00885FEE">
      <w:rPr>
        <w:rFonts w:ascii="Calibri" w:hAnsi="Calibri" w:cs="Arial"/>
        <w:i/>
        <w:sz w:val="20"/>
        <w:szCs w:val="20"/>
      </w:rPr>
      <w:t xml:space="preserve">Study Protocol: </w:t>
    </w:r>
    <w:r w:rsidR="00885FEE" w:rsidRPr="00885FEE">
      <w:rPr>
        <w:rFonts w:ascii="Calibri" w:hAnsi="Calibri" w:cs="Arial"/>
        <w:i/>
        <w:sz w:val="20"/>
        <w:szCs w:val="20"/>
      </w:rPr>
      <w:t xml:space="preserve">Navigated medial opening wedge high </w:t>
    </w:r>
    <w:proofErr w:type="spellStart"/>
    <w:r w:rsidR="00885FEE" w:rsidRPr="00885FEE">
      <w:rPr>
        <w:rFonts w:ascii="Calibri" w:hAnsi="Calibri" w:cs="Arial"/>
        <w:i/>
        <w:sz w:val="20"/>
        <w:szCs w:val="20"/>
      </w:rPr>
      <w:t>tibial</w:t>
    </w:r>
    <w:proofErr w:type="spellEnd"/>
    <w:r w:rsidR="00885FEE" w:rsidRPr="00885FEE">
      <w:rPr>
        <w:rFonts w:ascii="Calibri" w:hAnsi="Calibri" w:cs="Arial"/>
        <w:i/>
        <w:sz w:val="20"/>
        <w:szCs w:val="20"/>
      </w:rPr>
      <w:t xml:space="preserve"> osteotomy versus navigated lateral closing wedge high </w:t>
    </w:r>
    <w:proofErr w:type="spellStart"/>
    <w:r w:rsidR="00885FEE" w:rsidRPr="00885FEE">
      <w:rPr>
        <w:rFonts w:ascii="Calibri" w:hAnsi="Calibri" w:cs="Arial"/>
        <w:i/>
        <w:sz w:val="20"/>
        <w:szCs w:val="20"/>
      </w:rPr>
      <w:t>tibial</w:t>
    </w:r>
    <w:proofErr w:type="spellEnd"/>
    <w:r w:rsidR="00885FEE" w:rsidRPr="00885FEE">
      <w:rPr>
        <w:rFonts w:ascii="Calibri" w:hAnsi="Calibri" w:cs="Arial"/>
        <w:i/>
        <w:sz w:val="20"/>
        <w:szCs w:val="20"/>
      </w:rPr>
      <w:t xml:space="preserve"> osteotomy: A randomised control</w:t>
    </w:r>
    <w:r w:rsidR="00885FEE" w:rsidRPr="00885FEE">
      <w:rPr>
        <w:rFonts w:ascii="Calibri" w:hAnsi="Calibri" w:cs="Arial"/>
        <w:i/>
        <w:sz w:val="22"/>
        <w:szCs w:val="22"/>
      </w:rPr>
      <w:t xml:space="preserve"> </w:t>
    </w:r>
    <w:r w:rsidR="00885FEE" w:rsidRPr="00885FEE">
      <w:rPr>
        <w:rFonts w:ascii="Calibri" w:hAnsi="Calibri" w:cs="Arial"/>
        <w:i/>
        <w:sz w:val="20"/>
        <w:szCs w:val="20"/>
      </w:rPr>
      <w:t>trial</w:t>
    </w:r>
    <w:r w:rsidR="00885FEE" w:rsidRPr="00885FEE">
      <w:rPr>
        <w:rFonts w:ascii="Calibri" w:hAnsi="Calibri"/>
        <w:b/>
        <w:i/>
        <w:color w:val="000000"/>
        <w:sz w:val="20"/>
        <w:szCs w:val="20"/>
      </w:rPr>
      <w:t xml:space="preserve"> </w:t>
    </w:r>
  </w:p>
  <w:p w14:paraId="332E2641" w14:textId="52490708" w:rsidR="00420330" w:rsidRPr="00420330" w:rsidRDefault="00420330" w:rsidP="00420330">
    <w:pPr>
      <w:rPr>
        <w:rFonts w:cs="Arial"/>
        <w:i/>
        <w:sz w:val="20"/>
        <w:szCs w:val="20"/>
      </w:rPr>
    </w:pPr>
  </w:p>
  <w:p w14:paraId="3F359422" w14:textId="77777777" w:rsidR="00420330" w:rsidRDefault="00420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76CD9" w14:textId="77777777" w:rsidR="00244B59" w:rsidRDefault="00244B59" w:rsidP="00494373">
      <w:r>
        <w:separator/>
      </w:r>
    </w:p>
  </w:footnote>
  <w:footnote w:type="continuationSeparator" w:id="0">
    <w:p w14:paraId="3FD78613" w14:textId="77777777" w:rsidR="00244B59" w:rsidRDefault="00244B59" w:rsidP="00494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4DB41" w14:textId="01E55513" w:rsidR="00CE31AB" w:rsidRDefault="00885FEE" w:rsidP="00420330">
    <w:pPr>
      <w:pStyle w:val="Header"/>
      <w:jc w:val="center"/>
      <w:rPr>
        <w:rFonts w:ascii="Arial" w:hAnsi="Arial" w:cs="Arial"/>
      </w:rPr>
    </w:pPr>
    <w:r>
      <w:rPr>
        <w:noProof/>
        <w:lang w:val="en-AU" w:eastAsia="en-AU"/>
      </w:rPr>
      <w:drawing>
        <wp:inline distT="0" distB="0" distL="0" distR="0" wp14:anchorId="50CB1224" wp14:editId="1E559EC9">
          <wp:extent cx="790575" cy="666750"/>
          <wp:effectExtent l="0" t="0" r="9525" b="0"/>
          <wp:docPr id="1" name="Picture 1"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inline>
      </w:drawing>
    </w:r>
    <w:r>
      <w:rPr>
        <w:noProof/>
        <w:lang w:val="en-AU" w:eastAsia="en-AU"/>
      </w:rPr>
      <w:drawing>
        <wp:inline distT="0" distB="0" distL="0" distR="0" wp14:anchorId="094FE6FC" wp14:editId="3EBBADF4">
          <wp:extent cx="1247775" cy="723900"/>
          <wp:effectExtent l="0" t="0" r="9525" b="0"/>
          <wp:docPr id="2" name="Picture 2" descr="tex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inline>
      </w:drawing>
    </w:r>
    <w:r>
      <w:rPr>
        <w:noProof/>
        <w:lang w:val="en-AU" w:eastAsia="en-AU"/>
      </w:rPr>
      <w:drawing>
        <wp:inline distT="0" distB="0" distL="0" distR="0" wp14:anchorId="4A7761C7" wp14:editId="5E83D092">
          <wp:extent cx="790575" cy="666750"/>
          <wp:effectExtent l="0" t="0" r="9525" b="0"/>
          <wp:docPr id="3" name="Picture 3" descr="colum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um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a:ln>
                    <a:noFill/>
                  </a:ln>
                </pic:spPr>
              </pic:pic>
            </a:graphicData>
          </a:graphic>
        </wp:inline>
      </w:drawing>
    </w:r>
  </w:p>
  <w:p w14:paraId="55FD59D2" w14:textId="77777777" w:rsidR="00885FEE" w:rsidRPr="00944E19" w:rsidRDefault="00885FEE" w:rsidP="00420330">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3FC"/>
    <w:multiLevelType w:val="hybridMultilevel"/>
    <w:tmpl w:val="1D5A6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CC51FB"/>
    <w:multiLevelType w:val="hybridMultilevel"/>
    <w:tmpl w:val="95E2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1A2C"/>
    <w:multiLevelType w:val="hybridMultilevel"/>
    <w:tmpl w:val="65BEA4FA"/>
    <w:lvl w:ilvl="0" w:tplc="315A90EC">
      <w:start w:val="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07C4"/>
    <w:multiLevelType w:val="hybridMultilevel"/>
    <w:tmpl w:val="53BC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0317C"/>
    <w:multiLevelType w:val="hybridMultilevel"/>
    <w:tmpl w:val="3B0EE52C"/>
    <w:lvl w:ilvl="0" w:tplc="315A90EC">
      <w:start w:val="1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73547"/>
    <w:multiLevelType w:val="hybridMultilevel"/>
    <w:tmpl w:val="1F66FA2A"/>
    <w:lvl w:ilvl="0" w:tplc="C7B0388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D41FC"/>
    <w:multiLevelType w:val="hybridMultilevel"/>
    <w:tmpl w:val="5AA6FF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F22AE0"/>
    <w:multiLevelType w:val="hybridMultilevel"/>
    <w:tmpl w:val="B4441CCE"/>
    <w:lvl w:ilvl="0" w:tplc="CE680E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E3334"/>
    <w:multiLevelType w:val="hybridMultilevel"/>
    <w:tmpl w:val="2DDE2A46"/>
    <w:lvl w:ilvl="0" w:tplc="C7B0388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43870"/>
    <w:multiLevelType w:val="hybridMultilevel"/>
    <w:tmpl w:val="D9D8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F159E"/>
    <w:multiLevelType w:val="hybridMultilevel"/>
    <w:tmpl w:val="568E00C4"/>
    <w:lvl w:ilvl="0" w:tplc="315A90EC">
      <w:start w:val="1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570FA5"/>
    <w:multiLevelType w:val="hybridMultilevel"/>
    <w:tmpl w:val="BBF676CC"/>
    <w:lvl w:ilvl="0" w:tplc="315A90EC">
      <w:start w:val="1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711319"/>
    <w:multiLevelType w:val="hybridMultilevel"/>
    <w:tmpl w:val="797AB7F0"/>
    <w:lvl w:ilvl="0" w:tplc="5AAA994C">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CC3E27"/>
    <w:multiLevelType w:val="hybridMultilevel"/>
    <w:tmpl w:val="5E8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4"/>
  </w:num>
  <w:num w:numId="6">
    <w:abstractNumId w:val="5"/>
  </w:num>
  <w:num w:numId="7">
    <w:abstractNumId w:val="8"/>
  </w:num>
  <w:num w:numId="8">
    <w:abstractNumId w:val="0"/>
  </w:num>
  <w:num w:numId="9">
    <w:abstractNumId w:val="3"/>
  </w:num>
  <w:num w:numId="10">
    <w:abstractNumId w:val="7"/>
  </w:num>
  <w:num w:numId="11">
    <w:abstractNumId w:val="9"/>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3"/>
    <w:rsid w:val="000048FB"/>
    <w:rsid w:val="0001368D"/>
    <w:rsid w:val="00020506"/>
    <w:rsid w:val="000313EC"/>
    <w:rsid w:val="0007797D"/>
    <w:rsid w:val="000855CD"/>
    <w:rsid w:val="00092854"/>
    <w:rsid w:val="000A4388"/>
    <w:rsid w:val="000D660B"/>
    <w:rsid w:val="000E13AC"/>
    <w:rsid w:val="000F59E7"/>
    <w:rsid w:val="00105257"/>
    <w:rsid w:val="00117954"/>
    <w:rsid w:val="00125077"/>
    <w:rsid w:val="001346CE"/>
    <w:rsid w:val="00153D63"/>
    <w:rsid w:val="0016063E"/>
    <w:rsid w:val="00182EA4"/>
    <w:rsid w:val="00196F0C"/>
    <w:rsid w:val="001A4980"/>
    <w:rsid w:val="001C4FD5"/>
    <w:rsid w:val="001E44F4"/>
    <w:rsid w:val="00227B0A"/>
    <w:rsid w:val="00234BA8"/>
    <w:rsid w:val="00237C16"/>
    <w:rsid w:val="00244B59"/>
    <w:rsid w:val="00247771"/>
    <w:rsid w:val="00251210"/>
    <w:rsid w:val="00262B6B"/>
    <w:rsid w:val="0028781F"/>
    <w:rsid w:val="002B0DCD"/>
    <w:rsid w:val="002C0093"/>
    <w:rsid w:val="002C0DD5"/>
    <w:rsid w:val="002C6145"/>
    <w:rsid w:val="002D6B56"/>
    <w:rsid w:val="002E77BF"/>
    <w:rsid w:val="002F166C"/>
    <w:rsid w:val="002F179A"/>
    <w:rsid w:val="003432D1"/>
    <w:rsid w:val="00343F54"/>
    <w:rsid w:val="00347C6E"/>
    <w:rsid w:val="00353DF9"/>
    <w:rsid w:val="003678B8"/>
    <w:rsid w:val="003730BD"/>
    <w:rsid w:val="003A5B15"/>
    <w:rsid w:val="003B39C4"/>
    <w:rsid w:val="003D5AD3"/>
    <w:rsid w:val="0041308B"/>
    <w:rsid w:val="00420330"/>
    <w:rsid w:val="0042735E"/>
    <w:rsid w:val="004342E5"/>
    <w:rsid w:val="00450CC4"/>
    <w:rsid w:val="00454981"/>
    <w:rsid w:val="00455642"/>
    <w:rsid w:val="00463163"/>
    <w:rsid w:val="00475109"/>
    <w:rsid w:val="00484D33"/>
    <w:rsid w:val="00494373"/>
    <w:rsid w:val="004C7ADC"/>
    <w:rsid w:val="004E4199"/>
    <w:rsid w:val="004F3820"/>
    <w:rsid w:val="004F7B33"/>
    <w:rsid w:val="005002ED"/>
    <w:rsid w:val="00524086"/>
    <w:rsid w:val="00525D02"/>
    <w:rsid w:val="00530A25"/>
    <w:rsid w:val="00566B70"/>
    <w:rsid w:val="00572EB5"/>
    <w:rsid w:val="00591865"/>
    <w:rsid w:val="00594611"/>
    <w:rsid w:val="005B0360"/>
    <w:rsid w:val="005E140A"/>
    <w:rsid w:val="005F6783"/>
    <w:rsid w:val="006011A1"/>
    <w:rsid w:val="00613C2C"/>
    <w:rsid w:val="0065190D"/>
    <w:rsid w:val="00657CB6"/>
    <w:rsid w:val="00661A1D"/>
    <w:rsid w:val="00682269"/>
    <w:rsid w:val="00693389"/>
    <w:rsid w:val="006D7DA3"/>
    <w:rsid w:val="006D7F4B"/>
    <w:rsid w:val="006E3997"/>
    <w:rsid w:val="006E5805"/>
    <w:rsid w:val="006E6A2A"/>
    <w:rsid w:val="00712A06"/>
    <w:rsid w:val="00717A75"/>
    <w:rsid w:val="00722EF6"/>
    <w:rsid w:val="007241AC"/>
    <w:rsid w:val="00753685"/>
    <w:rsid w:val="00774ABD"/>
    <w:rsid w:val="00781EB9"/>
    <w:rsid w:val="007916B8"/>
    <w:rsid w:val="007B342B"/>
    <w:rsid w:val="007D3030"/>
    <w:rsid w:val="007F3221"/>
    <w:rsid w:val="0080356B"/>
    <w:rsid w:val="00812157"/>
    <w:rsid w:val="0085239A"/>
    <w:rsid w:val="00856268"/>
    <w:rsid w:val="008836BF"/>
    <w:rsid w:val="00885FEE"/>
    <w:rsid w:val="00891125"/>
    <w:rsid w:val="0089116F"/>
    <w:rsid w:val="008D21D9"/>
    <w:rsid w:val="008F3A16"/>
    <w:rsid w:val="008F66BF"/>
    <w:rsid w:val="00917179"/>
    <w:rsid w:val="009266B9"/>
    <w:rsid w:val="00931C2C"/>
    <w:rsid w:val="00944E19"/>
    <w:rsid w:val="00947BE4"/>
    <w:rsid w:val="00950DDF"/>
    <w:rsid w:val="009727D6"/>
    <w:rsid w:val="009A6A79"/>
    <w:rsid w:val="009A76BE"/>
    <w:rsid w:val="009B4B78"/>
    <w:rsid w:val="009C63ED"/>
    <w:rsid w:val="009F1388"/>
    <w:rsid w:val="00A15F60"/>
    <w:rsid w:val="00A17229"/>
    <w:rsid w:val="00A37F20"/>
    <w:rsid w:val="00A75D9A"/>
    <w:rsid w:val="00A75EC3"/>
    <w:rsid w:val="00AA0596"/>
    <w:rsid w:val="00AA34EA"/>
    <w:rsid w:val="00AA6AD9"/>
    <w:rsid w:val="00AD7640"/>
    <w:rsid w:val="00AE5115"/>
    <w:rsid w:val="00AE78B3"/>
    <w:rsid w:val="00AF22BE"/>
    <w:rsid w:val="00B0309A"/>
    <w:rsid w:val="00B3525D"/>
    <w:rsid w:val="00B36C3E"/>
    <w:rsid w:val="00B41BFF"/>
    <w:rsid w:val="00B5430A"/>
    <w:rsid w:val="00B55881"/>
    <w:rsid w:val="00B81A48"/>
    <w:rsid w:val="00B90A29"/>
    <w:rsid w:val="00BA5D4E"/>
    <w:rsid w:val="00BA73F1"/>
    <w:rsid w:val="00BD2C7B"/>
    <w:rsid w:val="00BE5183"/>
    <w:rsid w:val="00BE687E"/>
    <w:rsid w:val="00C012C0"/>
    <w:rsid w:val="00C10DB2"/>
    <w:rsid w:val="00C11602"/>
    <w:rsid w:val="00C26B77"/>
    <w:rsid w:val="00C359E8"/>
    <w:rsid w:val="00C43CAE"/>
    <w:rsid w:val="00C5151C"/>
    <w:rsid w:val="00C928E4"/>
    <w:rsid w:val="00CA4EF5"/>
    <w:rsid w:val="00CA7050"/>
    <w:rsid w:val="00CB0BF2"/>
    <w:rsid w:val="00CD6E41"/>
    <w:rsid w:val="00CE31AB"/>
    <w:rsid w:val="00CE35BE"/>
    <w:rsid w:val="00D032E9"/>
    <w:rsid w:val="00D21EFC"/>
    <w:rsid w:val="00D22970"/>
    <w:rsid w:val="00D231EA"/>
    <w:rsid w:val="00D24BB3"/>
    <w:rsid w:val="00D4102F"/>
    <w:rsid w:val="00D851DF"/>
    <w:rsid w:val="00DA459F"/>
    <w:rsid w:val="00DA7908"/>
    <w:rsid w:val="00DC3526"/>
    <w:rsid w:val="00DD2377"/>
    <w:rsid w:val="00DF190F"/>
    <w:rsid w:val="00E07D09"/>
    <w:rsid w:val="00E46927"/>
    <w:rsid w:val="00E71CA2"/>
    <w:rsid w:val="00EA2C54"/>
    <w:rsid w:val="00EC66BB"/>
    <w:rsid w:val="00EC6B85"/>
    <w:rsid w:val="00ED6577"/>
    <w:rsid w:val="00F608FB"/>
    <w:rsid w:val="00F84B37"/>
    <w:rsid w:val="00FC061B"/>
    <w:rsid w:val="00FC5E2B"/>
    <w:rsid w:val="00FD50D2"/>
    <w:rsid w:val="00FF5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53D0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D7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9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73"/>
    <w:pPr>
      <w:tabs>
        <w:tab w:val="center" w:pos="4320"/>
        <w:tab w:val="right" w:pos="8640"/>
      </w:tabs>
    </w:pPr>
  </w:style>
  <w:style w:type="character" w:customStyle="1" w:styleId="HeaderChar">
    <w:name w:val="Header Char"/>
    <w:basedOn w:val="DefaultParagraphFont"/>
    <w:link w:val="Header"/>
    <w:uiPriority w:val="99"/>
    <w:rsid w:val="00494373"/>
    <w:rPr>
      <w:lang w:val="en-GB"/>
    </w:rPr>
  </w:style>
  <w:style w:type="paragraph" w:styleId="Footer">
    <w:name w:val="footer"/>
    <w:basedOn w:val="Normal"/>
    <w:link w:val="FooterChar"/>
    <w:uiPriority w:val="99"/>
    <w:unhideWhenUsed/>
    <w:rsid w:val="00494373"/>
    <w:pPr>
      <w:tabs>
        <w:tab w:val="center" w:pos="4320"/>
        <w:tab w:val="right" w:pos="8640"/>
      </w:tabs>
    </w:pPr>
  </w:style>
  <w:style w:type="character" w:customStyle="1" w:styleId="FooterChar">
    <w:name w:val="Footer Char"/>
    <w:basedOn w:val="DefaultParagraphFont"/>
    <w:link w:val="Footer"/>
    <w:uiPriority w:val="99"/>
    <w:rsid w:val="00494373"/>
    <w:rPr>
      <w:lang w:val="en-GB"/>
    </w:rPr>
  </w:style>
  <w:style w:type="table" w:styleId="TableGrid">
    <w:name w:val="Table Grid"/>
    <w:basedOn w:val="TableNormal"/>
    <w:uiPriority w:val="59"/>
    <w:rsid w:val="00944E19"/>
    <w:rPr>
      <w:rFonts w:ascii="Cambria" w:eastAsia="Cambria"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3EC"/>
    <w:pPr>
      <w:ind w:left="720"/>
      <w:contextualSpacing/>
    </w:pPr>
  </w:style>
  <w:style w:type="character" w:styleId="CommentReference">
    <w:name w:val="annotation reference"/>
    <w:basedOn w:val="DefaultParagraphFont"/>
    <w:uiPriority w:val="99"/>
    <w:semiHidden/>
    <w:unhideWhenUsed/>
    <w:rsid w:val="007B342B"/>
    <w:rPr>
      <w:sz w:val="18"/>
      <w:szCs w:val="18"/>
    </w:rPr>
  </w:style>
  <w:style w:type="paragraph" w:styleId="CommentText">
    <w:name w:val="annotation text"/>
    <w:basedOn w:val="Normal"/>
    <w:link w:val="CommentTextChar"/>
    <w:uiPriority w:val="99"/>
    <w:semiHidden/>
    <w:unhideWhenUsed/>
    <w:rsid w:val="007B342B"/>
  </w:style>
  <w:style w:type="character" w:customStyle="1" w:styleId="CommentTextChar">
    <w:name w:val="Comment Text Char"/>
    <w:basedOn w:val="DefaultParagraphFont"/>
    <w:link w:val="CommentText"/>
    <w:uiPriority w:val="99"/>
    <w:semiHidden/>
    <w:rsid w:val="007B342B"/>
    <w:rPr>
      <w:lang w:val="en-GB"/>
    </w:rPr>
  </w:style>
  <w:style w:type="paragraph" w:styleId="CommentSubject">
    <w:name w:val="annotation subject"/>
    <w:basedOn w:val="CommentText"/>
    <w:next w:val="CommentText"/>
    <w:link w:val="CommentSubjectChar"/>
    <w:uiPriority w:val="99"/>
    <w:semiHidden/>
    <w:unhideWhenUsed/>
    <w:rsid w:val="007B342B"/>
    <w:rPr>
      <w:b/>
      <w:bCs/>
      <w:sz w:val="20"/>
      <w:szCs w:val="20"/>
    </w:rPr>
  </w:style>
  <w:style w:type="character" w:customStyle="1" w:styleId="CommentSubjectChar">
    <w:name w:val="Comment Subject Char"/>
    <w:basedOn w:val="CommentTextChar"/>
    <w:link w:val="CommentSubject"/>
    <w:uiPriority w:val="99"/>
    <w:semiHidden/>
    <w:rsid w:val="007B342B"/>
    <w:rPr>
      <w:b/>
      <w:bCs/>
      <w:sz w:val="20"/>
      <w:szCs w:val="20"/>
      <w:lang w:val="en-GB"/>
    </w:rPr>
  </w:style>
  <w:style w:type="paragraph" w:styleId="BalloonText">
    <w:name w:val="Balloon Text"/>
    <w:basedOn w:val="Normal"/>
    <w:link w:val="BalloonTextChar"/>
    <w:uiPriority w:val="99"/>
    <w:semiHidden/>
    <w:unhideWhenUsed/>
    <w:rsid w:val="007B3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42B"/>
    <w:rPr>
      <w:rFonts w:ascii="Lucida Grande" w:hAnsi="Lucida Grande" w:cs="Lucida Grande"/>
      <w:sz w:val="18"/>
      <w:szCs w:val="18"/>
      <w:lang w:val="en-GB"/>
    </w:rPr>
  </w:style>
  <w:style w:type="paragraph" w:styleId="NormalWeb">
    <w:name w:val="Normal (Web)"/>
    <w:basedOn w:val="Normal"/>
    <w:uiPriority w:val="99"/>
    <w:semiHidden/>
    <w:unhideWhenUsed/>
    <w:rsid w:val="003678B8"/>
    <w:pPr>
      <w:spacing w:before="100" w:beforeAutospacing="1" w:after="100" w:afterAutospacing="1"/>
    </w:pPr>
    <w:rPr>
      <w:rFonts w:ascii="Times" w:hAnsi="Times" w:cs="Times New Roman"/>
      <w:sz w:val="20"/>
      <w:szCs w:val="20"/>
      <w:lang w:val="en-AU"/>
    </w:rPr>
  </w:style>
  <w:style w:type="character" w:styleId="Hyperlink">
    <w:name w:val="Hyperlink"/>
    <w:uiPriority w:val="99"/>
    <w:unhideWhenUsed/>
    <w:rsid w:val="00D21EFC"/>
    <w:rPr>
      <w:color w:val="0000FF"/>
      <w:u w:val="single"/>
    </w:rPr>
  </w:style>
  <w:style w:type="paragraph" w:styleId="Title">
    <w:name w:val="Title"/>
    <w:basedOn w:val="Normal"/>
    <w:next w:val="Normal"/>
    <w:link w:val="TitleChar"/>
    <w:uiPriority w:val="10"/>
    <w:qFormat/>
    <w:rsid w:val="00AD76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640"/>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AD764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A4980"/>
    <w:rPr>
      <w:rFonts w:asciiTheme="majorHAnsi" w:eastAsiaTheme="majorEastAsia" w:hAnsiTheme="majorHAnsi" w:cstheme="majorBidi"/>
      <w:b/>
      <w:bCs/>
      <w:color w:val="4F81BD" w:themeColor="accent1"/>
      <w:sz w:val="26"/>
      <w:szCs w:val="26"/>
      <w:lang w:val="en-GB"/>
    </w:rPr>
  </w:style>
  <w:style w:type="paragraph" w:customStyle="1" w:styleId="ORIQLHeading2">
    <w:name w:val="ORIQL Heading 2"/>
    <w:basedOn w:val="Heading1"/>
    <w:link w:val="ORIQLHeading2Char"/>
    <w:qFormat/>
    <w:rsid w:val="001A4980"/>
    <w:rPr>
      <w:color w:val="auto"/>
      <w:sz w:val="22"/>
      <w:szCs w:val="22"/>
    </w:rPr>
  </w:style>
  <w:style w:type="paragraph" w:customStyle="1" w:styleId="ORIQLSubheading">
    <w:name w:val="ORIQL Subheading"/>
    <w:basedOn w:val="Heading2"/>
    <w:link w:val="ORIQLSubheadingChar"/>
    <w:qFormat/>
    <w:rsid w:val="006D7F4B"/>
    <w:rPr>
      <w:i/>
      <w:color w:val="auto"/>
      <w:sz w:val="22"/>
      <w:szCs w:val="22"/>
      <w:lang w:val="en-AU"/>
    </w:rPr>
  </w:style>
  <w:style w:type="character" w:customStyle="1" w:styleId="ORIQLHeading2Char">
    <w:name w:val="ORIQL Heading 2 Char"/>
    <w:basedOn w:val="Heading1Char"/>
    <w:link w:val="ORIQLHeading2"/>
    <w:rsid w:val="001A4980"/>
    <w:rPr>
      <w:rFonts w:asciiTheme="majorHAnsi" w:eastAsiaTheme="majorEastAsia" w:hAnsiTheme="majorHAnsi" w:cstheme="majorBidi"/>
      <w:b/>
      <w:bCs/>
      <w:color w:val="365F91" w:themeColor="accent1" w:themeShade="BF"/>
      <w:sz w:val="22"/>
      <w:szCs w:val="22"/>
      <w:lang w:val="en-GB"/>
    </w:rPr>
  </w:style>
  <w:style w:type="character" w:customStyle="1" w:styleId="ORIQLSubheadingChar">
    <w:name w:val="ORIQL Subheading Char"/>
    <w:basedOn w:val="Heading2Char"/>
    <w:link w:val="ORIQLSubheading"/>
    <w:rsid w:val="006D7F4B"/>
    <w:rPr>
      <w:rFonts w:asciiTheme="majorHAnsi" w:eastAsiaTheme="majorEastAsia" w:hAnsiTheme="majorHAnsi" w:cstheme="majorBidi"/>
      <w:b/>
      <w:bCs/>
      <w:i/>
      <w:color w:val="4F81BD" w:themeColor="accent1"/>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D76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9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73"/>
    <w:pPr>
      <w:tabs>
        <w:tab w:val="center" w:pos="4320"/>
        <w:tab w:val="right" w:pos="8640"/>
      </w:tabs>
    </w:pPr>
  </w:style>
  <w:style w:type="character" w:customStyle="1" w:styleId="HeaderChar">
    <w:name w:val="Header Char"/>
    <w:basedOn w:val="DefaultParagraphFont"/>
    <w:link w:val="Header"/>
    <w:uiPriority w:val="99"/>
    <w:rsid w:val="00494373"/>
    <w:rPr>
      <w:lang w:val="en-GB"/>
    </w:rPr>
  </w:style>
  <w:style w:type="paragraph" w:styleId="Footer">
    <w:name w:val="footer"/>
    <w:basedOn w:val="Normal"/>
    <w:link w:val="FooterChar"/>
    <w:uiPriority w:val="99"/>
    <w:unhideWhenUsed/>
    <w:rsid w:val="00494373"/>
    <w:pPr>
      <w:tabs>
        <w:tab w:val="center" w:pos="4320"/>
        <w:tab w:val="right" w:pos="8640"/>
      </w:tabs>
    </w:pPr>
  </w:style>
  <w:style w:type="character" w:customStyle="1" w:styleId="FooterChar">
    <w:name w:val="Footer Char"/>
    <w:basedOn w:val="DefaultParagraphFont"/>
    <w:link w:val="Footer"/>
    <w:uiPriority w:val="99"/>
    <w:rsid w:val="00494373"/>
    <w:rPr>
      <w:lang w:val="en-GB"/>
    </w:rPr>
  </w:style>
  <w:style w:type="table" w:styleId="TableGrid">
    <w:name w:val="Table Grid"/>
    <w:basedOn w:val="TableNormal"/>
    <w:uiPriority w:val="59"/>
    <w:rsid w:val="00944E19"/>
    <w:rPr>
      <w:rFonts w:ascii="Cambria" w:eastAsia="Cambria" w:hAnsi="Cambria"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13EC"/>
    <w:pPr>
      <w:ind w:left="720"/>
      <w:contextualSpacing/>
    </w:pPr>
  </w:style>
  <w:style w:type="character" w:styleId="CommentReference">
    <w:name w:val="annotation reference"/>
    <w:basedOn w:val="DefaultParagraphFont"/>
    <w:uiPriority w:val="99"/>
    <w:semiHidden/>
    <w:unhideWhenUsed/>
    <w:rsid w:val="007B342B"/>
    <w:rPr>
      <w:sz w:val="18"/>
      <w:szCs w:val="18"/>
    </w:rPr>
  </w:style>
  <w:style w:type="paragraph" w:styleId="CommentText">
    <w:name w:val="annotation text"/>
    <w:basedOn w:val="Normal"/>
    <w:link w:val="CommentTextChar"/>
    <w:uiPriority w:val="99"/>
    <w:semiHidden/>
    <w:unhideWhenUsed/>
    <w:rsid w:val="007B342B"/>
  </w:style>
  <w:style w:type="character" w:customStyle="1" w:styleId="CommentTextChar">
    <w:name w:val="Comment Text Char"/>
    <w:basedOn w:val="DefaultParagraphFont"/>
    <w:link w:val="CommentText"/>
    <w:uiPriority w:val="99"/>
    <w:semiHidden/>
    <w:rsid w:val="007B342B"/>
    <w:rPr>
      <w:lang w:val="en-GB"/>
    </w:rPr>
  </w:style>
  <w:style w:type="paragraph" w:styleId="CommentSubject">
    <w:name w:val="annotation subject"/>
    <w:basedOn w:val="CommentText"/>
    <w:next w:val="CommentText"/>
    <w:link w:val="CommentSubjectChar"/>
    <w:uiPriority w:val="99"/>
    <w:semiHidden/>
    <w:unhideWhenUsed/>
    <w:rsid w:val="007B342B"/>
    <w:rPr>
      <w:b/>
      <w:bCs/>
      <w:sz w:val="20"/>
      <w:szCs w:val="20"/>
    </w:rPr>
  </w:style>
  <w:style w:type="character" w:customStyle="1" w:styleId="CommentSubjectChar">
    <w:name w:val="Comment Subject Char"/>
    <w:basedOn w:val="CommentTextChar"/>
    <w:link w:val="CommentSubject"/>
    <w:uiPriority w:val="99"/>
    <w:semiHidden/>
    <w:rsid w:val="007B342B"/>
    <w:rPr>
      <w:b/>
      <w:bCs/>
      <w:sz w:val="20"/>
      <w:szCs w:val="20"/>
      <w:lang w:val="en-GB"/>
    </w:rPr>
  </w:style>
  <w:style w:type="paragraph" w:styleId="BalloonText">
    <w:name w:val="Balloon Text"/>
    <w:basedOn w:val="Normal"/>
    <w:link w:val="BalloonTextChar"/>
    <w:uiPriority w:val="99"/>
    <w:semiHidden/>
    <w:unhideWhenUsed/>
    <w:rsid w:val="007B34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42B"/>
    <w:rPr>
      <w:rFonts w:ascii="Lucida Grande" w:hAnsi="Lucida Grande" w:cs="Lucida Grande"/>
      <w:sz w:val="18"/>
      <w:szCs w:val="18"/>
      <w:lang w:val="en-GB"/>
    </w:rPr>
  </w:style>
  <w:style w:type="paragraph" w:styleId="NormalWeb">
    <w:name w:val="Normal (Web)"/>
    <w:basedOn w:val="Normal"/>
    <w:uiPriority w:val="99"/>
    <w:semiHidden/>
    <w:unhideWhenUsed/>
    <w:rsid w:val="003678B8"/>
    <w:pPr>
      <w:spacing w:before="100" w:beforeAutospacing="1" w:after="100" w:afterAutospacing="1"/>
    </w:pPr>
    <w:rPr>
      <w:rFonts w:ascii="Times" w:hAnsi="Times" w:cs="Times New Roman"/>
      <w:sz w:val="20"/>
      <w:szCs w:val="20"/>
      <w:lang w:val="en-AU"/>
    </w:rPr>
  </w:style>
  <w:style w:type="character" w:styleId="Hyperlink">
    <w:name w:val="Hyperlink"/>
    <w:uiPriority w:val="99"/>
    <w:unhideWhenUsed/>
    <w:rsid w:val="00D21EFC"/>
    <w:rPr>
      <w:color w:val="0000FF"/>
      <w:u w:val="single"/>
    </w:rPr>
  </w:style>
  <w:style w:type="paragraph" w:styleId="Title">
    <w:name w:val="Title"/>
    <w:basedOn w:val="Normal"/>
    <w:next w:val="Normal"/>
    <w:link w:val="TitleChar"/>
    <w:uiPriority w:val="10"/>
    <w:qFormat/>
    <w:rsid w:val="00AD76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7640"/>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AD764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A4980"/>
    <w:rPr>
      <w:rFonts w:asciiTheme="majorHAnsi" w:eastAsiaTheme="majorEastAsia" w:hAnsiTheme="majorHAnsi" w:cstheme="majorBidi"/>
      <w:b/>
      <w:bCs/>
      <w:color w:val="4F81BD" w:themeColor="accent1"/>
      <w:sz w:val="26"/>
      <w:szCs w:val="26"/>
      <w:lang w:val="en-GB"/>
    </w:rPr>
  </w:style>
  <w:style w:type="paragraph" w:customStyle="1" w:styleId="ORIQLHeading2">
    <w:name w:val="ORIQL Heading 2"/>
    <w:basedOn w:val="Heading1"/>
    <w:link w:val="ORIQLHeading2Char"/>
    <w:qFormat/>
    <w:rsid w:val="001A4980"/>
    <w:rPr>
      <w:color w:val="auto"/>
      <w:sz w:val="22"/>
      <w:szCs w:val="22"/>
    </w:rPr>
  </w:style>
  <w:style w:type="paragraph" w:customStyle="1" w:styleId="ORIQLSubheading">
    <w:name w:val="ORIQL Subheading"/>
    <w:basedOn w:val="Heading2"/>
    <w:link w:val="ORIQLSubheadingChar"/>
    <w:qFormat/>
    <w:rsid w:val="006D7F4B"/>
    <w:rPr>
      <w:i/>
      <w:color w:val="auto"/>
      <w:sz w:val="22"/>
      <w:szCs w:val="22"/>
      <w:lang w:val="en-AU"/>
    </w:rPr>
  </w:style>
  <w:style w:type="character" w:customStyle="1" w:styleId="ORIQLHeading2Char">
    <w:name w:val="ORIQL Heading 2 Char"/>
    <w:basedOn w:val="Heading1Char"/>
    <w:link w:val="ORIQLHeading2"/>
    <w:rsid w:val="001A4980"/>
    <w:rPr>
      <w:rFonts w:asciiTheme="majorHAnsi" w:eastAsiaTheme="majorEastAsia" w:hAnsiTheme="majorHAnsi" w:cstheme="majorBidi"/>
      <w:b/>
      <w:bCs/>
      <w:color w:val="365F91" w:themeColor="accent1" w:themeShade="BF"/>
      <w:sz w:val="22"/>
      <w:szCs w:val="22"/>
      <w:lang w:val="en-GB"/>
    </w:rPr>
  </w:style>
  <w:style w:type="character" w:customStyle="1" w:styleId="ORIQLSubheadingChar">
    <w:name w:val="ORIQL Subheading Char"/>
    <w:basedOn w:val="Heading2Char"/>
    <w:link w:val="ORIQLSubheading"/>
    <w:rsid w:val="006D7F4B"/>
    <w:rPr>
      <w:rFonts w:asciiTheme="majorHAnsi" w:eastAsiaTheme="majorEastAsia" w:hAnsiTheme="majorHAnsi" w:cstheme="majorBidi"/>
      <w:b/>
      <w:bCs/>
      <w:i/>
      <w:color w:val="4F81BD" w:themeColor="accen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371">
      <w:bodyDiv w:val="1"/>
      <w:marLeft w:val="0"/>
      <w:marRight w:val="0"/>
      <w:marTop w:val="0"/>
      <w:marBottom w:val="0"/>
      <w:divBdr>
        <w:top w:val="none" w:sz="0" w:space="0" w:color="auto"/>
        <w:left w:val="none" w:sz="0" w:space="0" w:color="auto"/>
        <w:bottom w:val="none" w:sz="0" w:space="0" w:color="auto"/>
        <w:right w:val="none" w:sz="0" w:space="0" w:color="auto"/>
      </w:divBdr>
    </w:div>
    <w:div w:id="342783453">
      <w:bodyDiv w:val="1"/>
      <w:marLeft w:val="0"/>
      <w:marRight w:val="0"/>
      <w:marTop w:val="0"/>
      <w:marBottom w:val="0"/>
      <w:divBdr>
        <w:top w:val="none" w:sz="0" w:space="0" w:color="auto"/>
        <w:left w:val="none" w:sz="0" w:space="0" w:color="auto"/>
        <w:bottom w:val="none" w:sz="0" w:space="0" w:color="auto"/>
        <w:right w:val="none" w:sz="0" w:space="0" w:color="auto"/>
      </w:divBdr>
    </w:div>
    <w:div w:id="936446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oriql.com.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4490-92BB-4E2E-B1A8-C2E89915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Bishal Faruque</dc:creator>
  <cp:lastModifiedBy>Dr Ryan Faruque</cp:lastModifiedBy>
  <cp:revision>6</cp:revision>
  <cp:lastPrinted>2016-07-13T01:36:00Z</cp:lastPrinted>
  <dcterms:created xsi:type="dcterms:W3CDTF">2016-07-21T05:53:00Z</dcterms:created>
  <dcterms:modified xsi:type="dcterms:W3CDTF">2016-09-15T02:11:00Z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drbrentmatthews@gmail.com@www.mendeley.com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